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ook w:val="0000"/>
      </w:tblPr>
      <w:tblGrid>
        <w:gridCol w:w="5054"/>
        <w:gridCol w:w="3667"/>
      </w:tblGrid>
      <w:tr w:rsidR="008267A5" w:rsidRPr="009C6EB6">
        <w:trPr>
          <w:trHeight w:hRule="exact" w:val="418"/>
          <w:jc w:val="center"/>
        </w:trPr>
        <w:tc>
          <w:tcPr>
            <w:tcW w:w="8721" w:type="dxa"/>
            <w:gridSpan w:val="2"/>
          </w:tcPr>
          <w:p w:rsidR="008267A5" w:rsidRPr="009C6EB6" w:rsidRDefault="009C6EB6">
            <w:pPr>
              <w:pStyle w:val="a3"/>
              <w:jc w:val="center"/>
              <w:rPr>
                <w:rFonts w:ascii="Tahoma" w:hAnsi="Tahoma" w:cs="Tahoma"/>
                <w:color w:val="000080"/>
                <w:rtl/>
              </w:rPr>
            </w:pPr>
            <w:bookmarkStart w:id="0" w:name="LastJudge"/>
            <w:r w:rsidRPr="009C6EB6">
              <w:rPr>
                <w:rFonts w:ascii="Tahoma" w:hAnsi="Tahoma" w:cs="Tahoma"/>
                <w:b/>
                <w:bCs/>
                <w:color w:val="000080"/>
                <w:rtl/>
              </w:rPr>
              <w:t>בית משפט השלום בפתח תקווה</w:t>
            </w:r>
          </w:p>
        </w:tc>
      </w:tr>
      <w:tr w:rsidR="008267A5" w:rsidRPr="009C6EB6">
        <w:trPr>
          <w:trHeight w:val="337"/>
          <w:jc w:val="center"/>
        </w:trPr>
        <w:tc>
          <w:tcPr>
            <w:tcW w:w="5054" w:type="dxa"/>
          </w:tcPr>
          <w:p w:rsidR="008267A5" w:rsidRPr="00AB3855" w:rsidRDefault="009C6EB6">
            <w:pPr>
              <w:rPr>
                <w:rFonts w:cs="FrankRuehl"/>
                <w:b/>
                <w:bCs/>
                <w:sz w:val="28"/>
                <w:szCs w:val="28"/>
                <w:rtl/>
              </w:rPr>
            </w:pPr>
            <w:r w:rsidRPr="00AB3855">
              <w:rPr>
                <w:rFonts w:cs="FrankRuehl"/>
                <w:b/>
                <w:bCs/>
                <w:sz w:val="28"/>
                <w:szCs w:val="28"/>
                <w:rtl/>
              </w:rPr>
              <w:t>ת"פ</w:t>
            </w:r>
            <w:r w:rsidRPr="00AB3855">
              <w:rPr>
                <w:rFonts w:cs="FrankRuehl" w:hint="cs"/>
                <w:b/>
                <w:bCs/>
                <w:sz w:val="28"/>
                <w:szCs w:val="28"/>
                <w:rtl/>
              </w:rPr>
              <w:t xml:space="preserve"> </w:t>
            </w:r>
            <w:r w:rsidRPr="00AB3855">
              <w:rPr>
                <w:rFonts w:cs="FrankRuehl"/>
                <w:b/>
                <w:bCs/>
                <w:sz w:val="28"/>
                <w:szCs w:val="28"/>
                <w:rtl/>
              </w:rPr>
              <w:t>10658-02-12</w:t>
            </w:r>
            <w:r w:rsidRPr="00AB3855">
              <w:rPr>
                <w:rFonts w:cs="FrankRuehl" w:hint="cs"/>
                <w:b/>
                <w:bCs/>
                <w:sz w:val="28"/>
                <w:szCs w:val="28"/>
                <w:rtl/>
              </w:rPr>
              <w:t xml:space="preserve"> </w:t>
            </w:r>
            <w:r w:rsidRPr="00AB3855">
              <w:rPr>
                <w:rFonts w:cs="FrankRuehl"/>
                <w:b/>
                <w:bCs/>
                <w:sz w:val="28"/>
                <w:szCs w:val="28"/>
                <w:rtl/>
              </w:rPr>
              <w:t>מדינת ישראל נ' טרופיגן ארועים בטבע בע"מ ואח'</w:t>
            </w:r>
          </w:p>
          <w:p w:rsidR="008267A5" w:rsidRPr="009C6EB6" w:rsidRDefault="008267A5">
            <w:pPr>
              <w:pStyle w:val="a3"/>
              <w:rPr>
                <w:rFonts w:cs="FrankRuehl"/>
                <w:sz w:val="28"/>
                <w:szCs w:val="28"/>
                <w:rtl/>
              </w:rPr>
            </w:pPr>
          </w:p>
        </w:tc>
        <w:tc>
          <w:tcPr>
            <w:tcW w:w="3667" w:type="dxa"/>
          </w:tcPr>
          <w:p w:rsidR="008267A5" w:rsidRPr="009C6EB6" w:rsidRDefault="008267A5">
            <w:pPr>
              <w:pStyle w:val="a3"/>
              <w:jc w:val="right"/>
              <w:rPr>
                <w:rFonts w:cs="FrankRuehl"/>
                <w:sz w:val="28"/>
                <w:szCs w:val="28"/>
                <w:rtl/>
              </w:rPr>
            </w:pPr>
          </w:p>
        </w:tc>
      </w:tr>
    </w:tbl>
    <w:p w:rsidR="008267A5" w:rsidRPr="009C6EB6" w:rsidRDefault="009C6EB6" w:rsidP="00AB3855">
      <w:pPr>
        <w:pStyle w:val="a3"/>
        <w:rPr>
          <w:rtl/>
        </w:rPr>
      </w:pPr>
      <w:r w:rsidRPr="009C6EB6">
        <w:rPr>
          <w:rFonts w:hint="cs"/>
          <w:rtl/>
        </w:rPr>
        <w:t xml:space="preserve"> </w:t>
      </w:r>
    </w:p>
    <w:tbl>
      <w:tblPr>
        <w:bidiVisual/>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4114"/>
        <w:gridCol w:w="3761"/>
      </w:tblGrid>
      <w:tr w:rsidR="008267A5" w:rsidRPr="00AB3855">
        <w:trPr>
          <w:trHeight w:val="295"/>
          <w:jc w:val="center"/>
        </w:trPr>
        <w:tc>
          <w:tcPr>
            <w:tcW w:w="923" w:type="dxa"/>
            <w:tcBorders>
              <w:top w:val="nil"/>
              <w:left w:val="nil"/>
              <w:bottom w:val="nil"/>
              <w:right w:val="nil"/>
            </w:tcBorders>
          </w:tcPr>
          <w:p w:rsidR="008267A5" w:rsidRPr="00AB3855" w:rsidRDefault="009C6EB6">
            <w:pPr>
              <w:jc w:val="both"/>
              <w:rPr>
                <w:rFonts w:ascii="Arial" w:hAnsi="Arial"/>
                <w:b/>
                <w:bCs/>
                <w:sz w:val="28"/>
                <w:szCs w:val="28"/>
              </w:rPr>
            </w:pPr>
            <w:r w:rsidRPr="00AB3855">
              <w:rPr>
                <w:rFonts w:ascii="Arial" w:hAnsi="Arial" w:hint="cs"/>
                <w:b/>
                <w:bCs/>
                <w:sz w:val="28"/>
                <w:szCs w:val="28"/>
                <w:rtl/>
              </w:rPr>
              <w:t xml:space="preserve">בפני </w:t>
            </w:r>
          </w:p>
        </w:tc>
        <w:tc>
          <w:tcPr>
            <w:tcW w:w="7897" w:type="dxa"/>
            <w:gridSpan w:val="2"/>
            <w:tcBorders>
              <w:top w:val="nil"/>
              <w:left w:val="nil"/>
              <w:bottom w:val="nil"/>
              <w:right w:val="nil"/>
            </w:tcBorders>
          </w:tcPr>
          <w:p w:rsidR="008267A5" w:rsidRPr="00AB3855" w:rsidRDefault="009C6EB6">
            <w:pPr>
              <w:rPr>
                <w:rFonts w:ascii="Arial" w:hAnsi="Arial"/>
                <w:b/>
                <w:bCs/>
                <w:rtl/>
              </w:rPr>
            </w:pPr>
            <w:r w:rsidRPr="00AB3855">
              <w:rPr>
                <w:rFonts w:ascii="Arial" w:hAnsi="Arial" w:hint="cs"/>
                <w:b/>
                <w:bCs/>
                <w:rtl/>
              </w:rPr>
              <w:t>כב' השופטת שלהבת קמיר-וייס</w:t>
            </w:r>
          </w:p>
          <w:p w:rsidR="008267A5" w:rsidRPr="00AB3855" w:rsidRDefault="008267A5">
            <w:pPr>
              <w:rPr>
                <w:b/>
                <w:bCs/>
                <w:rtl/>
              </w:rPr>
            </w:pPr>
          </w:p>
          <w:p w:rsidR="008267A5" w:rsidRPr="00AB3855" w:rsidRDefault="008267A5">
            <w:pPr>
              <w:jc w:val="both"/>
              <w:rPr>
                <w:rFonts w:ascii="Arial" w:hAnsi="Arial"/>
                <w:b/>
                <w:bCs/>
                <w:sz w:val="28"/>
                <w:szCs w:val="28"/>
              </w:rPr>
            </w:pPr>
          </w:p>
        </w:tc>
      </w:tr>
      <w:tr w:rsidR="008267A5" w:rsidRPr="00AB3855">
        <w:trPr>
          <w:trHeight w:val="355"/>
          <w:jc w:val="center"/>
        </w:trPr>
        <w:tc>
          <w:tcPr>
            <w:tcW w:w="923" w:type="dxa"/>
            <w:tcBorders>
              <w:top w:val="nil"/>
              <w:left w:val="nil"/>
              <w:bottom w:val="nil"/>
              <w:right w:val="nil"/>
            </w:tcBorders>
          </w:tcPr>
          <w:p w:rsidR="008267A5" w:rsidRPr="00AB3855" w:rsidRDefault="009C6EB6">
            <w:pPr>
              <w:jc w:val="both"/>
              <w:rPr>
                <w:rFonts w:ascii="Arial" w:hAnsi="Arial"/>
                <w:b/>
                <w:bCs/>
                <w:sz w:val="28"/>
                <w:szCs w:val="28"/>
              </w:rPr>
            </w:pPr>
            <w:bookmarkStart w:id="1" w:name="FirstAppellant"/>
            <w:r w:rsidRPr="00AB3855">
              <w:rPr>
                <w:rFonts w:ascii="Arial" w:hAnsi="Arial" w:hint="cs"/>
                <w:b/>
                <w:bCs/>
                <w:sz w:val="28"/>
                <w:szCs w:val="28"/>
                <w:rtl/>
              </w:rPr>
              <w:t>בעניין:</w:t>
            </w:r>
          </w:p>
        </w:tc>
        <w:tc>
          <w:tcPr>
            <w:tcW w:w="4126" w:type="dxa"/>
            <w:tcBorders>
              <w:top w:val="nil"/>
              <w:left w:val="nil"/>
              <w:bottom w:val="nil"/>
              <w:right w:val="nil"/>
            </w:tcBorders>
          </w:tcPr>
          <w:p w:rsidR="008267A5" w:rsidRPr="00AB3855" w:rsidRDefault="009C6EB6">
            <w:pPr>
              <w:rPr>
                <w:b/>
                <w:bCs/>
              </w:rPr>
            </w:pPr>
            <w:r w:rsidRPr="00AB3855">
              <w:rPr>
                <w:rFonts w:ascii="Arial" w:hAnsi="Arial" w:hint="cs"/>
                <w:b/>
                <w:bCs/>
                <w:rtl/>
              </w:rPr>
              <w:t>מדינת ישראל ע"י המחלקה לאכיפת דיני מקרקעין בפרקליטות המדינה</w:t>
            </w:r>
          </w:p>
        </w:tc>
        <w:tc>
          <w:tcPr>
            <w:tcW w:w="3771" w:type="dxa"/>
            <w:tcBorders>
              <w:top w:val="nil"/>
              <w:left w:val="nil"/>
              <w:bottom w:val="nil"/>
              <w:right w:val="nil"/>
            </w:tcBorders>
          </w:tcPr>
          <w:p w:rsidR="008267A5" w:rsidRPr="00AB3855" w:rsidRDefault="008267A5">
            <w:pPr>
              <w:jc w:val="both"/>
              <w:rPr>
                <w:rFonts w:ascii="Arial" w:hAnsi="Arial"/>
                <w:b/>
                <w:bCs/>
                <w:sz w:val="28"/>
                <w:szCs w:val="28"/>
              </w:rPr>
            </w:pPr>
          </w:p>
        </w:tc>
      </w:tr>
      <w:tr w:rsidR="008267A5" w:rsidRPr="00AB3855">
        <w:trPr>
          <w:trHeight w:val="355"/>
          <w:jc w:val="center"/>
        </w:trPr>
        <w:tc>
          <w:tcPr>
            <w:tcW w:w="923" w:type="dxa"/>
            <w:tcBorders>
              <w:top w:val="nil"/>
              <w:left w:val="nil"/>
              <w:bottom w:val="nil"/>
              <w:right w:val="nil"/>
            </w:tcBorders>
          </w:tcPr>
          <w:p w:rsidR="008267A5" w:rsidRPr="00AB3855" w:rsidRDefault="008267A5">
            <w:pPr>
              <w:jc w:val="both"/>
              <w:rPr>
                <w:rFonts w:ascii="Arial" w:hAnsi="Arial"/>
                <w:b/>
                <w:bCs/>
                <w:sz w:val="28"/>
                <w:szCs w:val="28"/>
              </w:rPr>
            </w:pPr>
            <w:bookmarkStart w:id="2" w:name="FirstLawyer"/>
            <w:bookmarkEnd w:id="1"/>
          </w:p>
        </w:tc>
        <w:tc>
          <w:tcPr>
            <w:tcW w:w="4126" w:type="dxa"/>
            <w:tcBorders>
              <w:top w:val="nil"/>
              <w:left w:val="nil"/>
              <w:bottom w:val="nil"/>
              <w:right w:val="nil"/>
            </w:tcBorders>
          </w:tcPr>
          <w:p w:rsidR="008267A5" w:rsidRPr="00AB3855" w:rsidRDefault="009C6EB6">
            <w:pPr>
              <w:jc w:val="both"/>
              <w:rPr>
                <w:b/>
                <w:bCs/>
              </w:rPr>
            </w:pPr>
            <w:r w:rsidRPr="00AB3855">
              <w:rPr>
                <w:rFonts w:hint="cs"/>
                <w:b/>
                <w:bCs/>
                <w:rtl/>
              </w:rPr>
              <w:t>ע"י ב"כ עו"ד עפרה אורנשטיין</w:t>
            </w:r>
          </w:p>
        </w:tc>
        <w:tc>
          <w:tcPr>
            <w:tcW w:w="3771" w:type="dxa"/>
            <w:tcBorders>
              <w:top w:val="nil"/>
              <w:left w:val="nil"/>
              <w:bottom w:val="nil"/>
              <w:right w:val="nil"/>
            </w:tcBorders>
          </w:tcPr>
          <w:p w:rsidR="008267A5" w:rsidRPr="00AB3855" w:rsidRDefault="009C6EB6">
            <w:pPr>
              <w:jc w:val="right"/>
              <w:rPr>
                <w:rFonts w:ascii="Arial" w:hAnsi="Arial"/>
                <w:b/>
                <w:bCs/>
                <w:sz w:val="28"/>
                <w:szCs w:val="28"/>
              </w:rPr>
            </w:pPr>
            <w:r w:rsidRPr="00AB3855">
              <w:rPr>
                <w:rFonts w:ascii="Arial" w:hAnsi="Arial" w:hint="cs"/>
                <w:b/>
                <w:bCs/>
                <w:sz w:val="28"/>
                <w:szCs w:val="28"/>
                <w:rtl/>
              </w:rPr>
              <w:t>המאשימה</w:t>
            </w:r>
          </w:p>
        </w:tc>
      </w:tr>
      <w:bookmarkEnd w:id="2"/>
      <w:tr w:rsidR="008267A5" w:rsidRPr="00AB3855">
        <w:trPr>
          <w:trHeight w:val="355"/>
          <w:jc w:val="center"/>
        </w:trPr>
        <w:tc>
          <w:tcPr>
            <w:tcW w:w="923" w:type="dxa"/>
            <w:tcBorders>
              <w:top w:val="nil"/>
              <w:left w:val="nil"/>
              <w:bottom w:val="nil"/>
              <w:right w:val="nil"/>
            </w:tcBorders>
          </w:tcPr>
          <w:p w:rsidR="008267A5" w:rsidRPr="00AB3855" w:rsidRDefault="008267A5">
            <w:pPr>
              <w:jc w:val="both"/>
              <w:rPr>
                <w:rFonts w:ascii="Arial" w:hAnsi="Arial"/>
                <w:b/>
                <w:bCs/>
                <w:sz w:val="28"/>
                <w:szCs w:val="28"/>
              </w:rPr>
            </w:pPr>
          </w:p>
        </w:tc>
        <w:tc>
          <w:tcPr>
            <w:tcW w:w="7897" w:type="dxa"/>
            <w:gridSpan w:val="2"/>
            <w:tcBorders>
              <w:top w:val="nil"/>
              <w:left w:val="nil"/>
              <w:bottom w:val="nil"/>
              <w:right w:val="nil"/>
            </w:tcBorders>
          </w:tcPr>
          <w:p w:rsidR="008267A5" w:rsidRPr="00AB3855" w:rsidRDefault="008267A5">
            <w:pPr>
              <w:jc w:val="center"/>
              <w:rPr>
                <w:rFonts w:ascii="Arial" w:hAnsi="Arial"/>
                <w:b/>
                <w:bCs/>
                <w:rtl/>
              </w:rPr>
            </w:pPr>
          </w:p>
          <w:p w:rsidR="008267A5" w:rsidRPr="00AB3855" w:rsidRDefault="009C6EB6">
            <w:pPr>
              <w:jc w:val="center"/>
              <w:rPr>
                <w:rFonts w:ascii="Arial" w:hAnsi="Arial"/>
                <w:b/>
                <w:bCs/>
                <w:rtl/>
              </w:rPr>
            </w:pPr>
            <w:r w:rsidRPr="00AB3855">
              <w:rPr>
                <w:rFonts w:ascii="Arial" w:hAnsi="Arial" w:hint="cs"/>
                <w:b/>
                <w:bCs/>
                <w:rtl/>
              </w:rPr>
              <w:t>נגד</w:t>
            </w:r>
          </w:p>
          <w:p w:rsidR="008267A5" w:rsidRPr="00AB3855" w:rsidRDefault="008267A5">
            <w:pPr>
              <w:jc w:val="both"/>
              <w:rPr>
                <w:rFonts w:ascii="Arial" w:hAnsi="Arial"/>
                <w:b/>
                <w:bCs/>
              </w:rPr>
            </w:pPr>
          </w:p>
        </w:tc>
      </w:tr>
      <w:tr w:rsidR="008267A5" w:rsidRPr="00AB3855">
        <w:trPr>
          <w:trHeight w:val="355"/>
          <w:jc w:val="center"/>
        </w:trPr>
        <w:tc>
          <w:tcPr>
            <w:tcW w:w="923" w:type="dxa"/>
            <w:tcBorders>
              <w:top w:val="nil"/>
              <w:left w:val="nil"/>
              <w:bottom w:val="nil"/>
              <w:right w:val="nil"/>
            </w:tcBorders>
          </w:tcPr>
          <w:p w:rsidR="008267A5" w:rsidRPr="00AB3855" w:rsidRDefault="008267A5">
            <w:pPr>
              <w:rPr>
                <w:rFonts w:ascii="Arial" w:hAnsi="Arial" w:hint="cs"/>
                <w:b/>
                <w:bCs/>
                <w:sz w:val="28"/>
                <w:szCs w:val="28"/>
              </w:rPr>
            </w:pPr>
          </w:p>
        </w:tc>
        <w:tc>
          <w:tcPr>
            <w:tcW w:w="4126" w:type="dxa"/>
            <w:tcBorders>
              <w:top w:val="nil"/>
              <w:left w:val="nil"/>
              <w:bottom w:val="nil"/>
              <w:right w:val="nil"/>
            </w:tcBorders>
          </w:tcPr>
          <w:p w:rsidR="008267A5" w:rsidRPr="00AB3855" w:rsidRDefault="009C6EB6">
            <w:pPr>
              <w:rPr>
                <w:b/>
                <w:bCs/>
                <w:rtl/>
              </w:rPr>
            </w:pPr>
            <w:r w:rsidRPr="00AB3855">
              <w:rPr>
                <w:rFonts w:ascii="Arial" w:hAnsi="Arial" w:hint="cs"/>
                <w:b/>
                <w:bCs/>
                <w:rtl/>
              </w:rPr>
              <w:t>1.טרופיגן אירועים בטבע בע"מ</w:t>
            </w:r>
          </w:p>
          <w:p w:rsidR="008267A5" w:rsidRPr="00AB3855" w:rsidRDefault="009C6EB6">
            <w:pPr>
              <w:rPr>
                <w:b/>
                <w:bCs/>
              </w:rPr>
            </w:pPr>
            <w:r w:rsidRPr="00AB3855">
              <w:rPr>
                <w:rFonts w:ascii="Arial" w:hAnsi="Arial" w:hint="cs"/>
                <w:b/>
                <w:bCs/>
                <w:rtl/>
              </w:rPr>
              <w:t>2.ציון סספורטס</w:t>
            </w:r>
          </w:p>
        </w:tc>
        <w:tc>
          <w:tcPr>
            <w:tcW w:w="3771" w:type="dxa"/>
            <w:tcBorders>
              <w:top w:val="nil"/>
              <w:left w:val="nil"/>
              <w:bottom w:val="nil"/>
              <w:right w:val="nil"/>
            </w:tcBorders>
          </w:tcPr>
          <w:p w:rsidR="008267A5" w:rsidRPr="00AB3855" w:rsidRDefault="008267A5">
            <w:pPr>
              <w:jc w:val="right"/>
              <w:rPr>
                <w:rFonts w:ascii="Arial" w:hAnsi="Arial"/>
                <w:b/>
                <w:bCs/>
                <w:sz w:val="28"/>
                <w:szCs w:val="28"/>
              </w:rPr>
            </w:pPr>
          </w:p>
        </w:tc>
      </w:tr>
      <w:tr w:rsidR="008267A5" w:rsidRPr="00AB3855">
        <w:trPr>
          <w:trHeight w:val="355"/>
          <w:jc w:val="center"/>
        </w:trPr>
        <w:tc>
          <w:tcPr>
            <w:tcW w:w="923" w:type="dxa"/>
            <w:tcBorders>
              <w:top w:val="nil"/>
              <w:left w:val="nil"/>
              <w:bottom w:val="nil"/>
              <w:right w:val="nil"/>
            </w:tcBorders>
          </w:tcPr>
          <w:p w:rsidR="008267A5" w:rsidRPr="00AB3855" w:rsidRDefault="008267A5">
            <w:pPr>
              <w:jc w:val="both"/>
              <w:rPr>
                <w:rFonts w:ascii="Arial" w:hAnsi="Arial"/>
                <w:b/>
                <w:bCs/>
                <w:sz w:val="28"/>
                <w:szCs w:val="28"/>
              </w:rPr>
            </w:pPr>
          </w:p>
        </w:tc>
        <w:tc>
          <w:tcPr>
            <w:tcW w:w="4126" w:type="dxa"/>
            <w:tcBorders>
              <w:top w:val="nil"/>
              <w:left w:val="nil"/>
              <w:bottom w:val="nil"/>
              <w:right w:val="nil"/>
            </w:tcBorders>
          </w:tcPr>
          <w:p w:rsidR="008267A5" w:rsidRPr="00AB3855" w:rsidRDefault="009C6EB6">
            <w:pPr>
              <w:jc w:val="both"/>
              <w:rPr>
                <w:b/>
                <w:bCs/>
              </w:rPr>
            </w:pPr>
            <w:r w:rsidRPr="00AB3855">
              <w:rPr>
                <w:rFonts w:hint="cs"/>
                <w:b/>
                <w:bCs/>
                <w:rtl/>
              </w:rPr>
              <w:t>ע"י ב"כ עו"ד חיים כהן</w:t>
            </w:r>
          </w:p>
        </w:tc>
        <w:tc>
          <w:tcPr>
            <w:tcW w:w="3771" w:type="dxa"/>
            <w:tcBorders>
              <w:top w:val="nil"/>
              <w:left w:val="nil"/>
              <w:bottom w:val="nil"/>
              <w:right w:val="nil"/>
            </w:tcBorders>
          </w:tcPr>
          <w:p w:rsidR="008267A5" w:rsidRPr="00AB3855" w:rsidRDefault="009C6EB6">
            <w:pPr>
              <w:jc w:val="right"/>
              <w:rPr>
                <w:rFonts w:ascii="Arial" w:hAnsi="Arial"/>
                <w:b/>
                <w:bCs/>
                <w:sz w:val="28"/>
                <w:szCs w:val="28"/>
              </w:rPr>
            </w:pPr>
            <w:r w:rsidRPr="00AB3855">
              <w:rPr>
                <w:rFonts w:ascii="Arial" w:hAnsi="Arial" w:hint="cs"/>
                <w:b/>
                <w:bCs/>
                <w:sz w:val="28"/>
                <w:szCs w:val="28"/>
                <w:rtl/>
              </w:rPr>
              <w:t>הנאשמים</w:t>
            </w:r>
          </w:p>
        </w:tc>
      </w:tr>
    </w:tbl>
    <w:p w:rsidR="008267A5" w:rsidRPr="009C6EB6" w:rsidRDefault="008267A5">
      <w:pPr>
        <w:rPr>
          <w:rtl/>
        </w:rPr>
      </w:pPr>
    </w:p>
    <w:p w:rsidR="00925670" w:rsidRPr="00925670" w:rsidRDefault="00925670" w:rsidP="00925670">
      <w:pPr>
        <w:spacing w:after="120" w:line="240" w:lineRule="exact"/>
        <w:ind w:left="283" w:hanging="283"/>
        <w:jc w:val="both"/>
        <w:rPr>
          <w:rFonts w:ascii="FrankRuehl" w:hAnsi="FrankRuehl" w:cs="FrankRuehl"/>
          <w:rtl/>
        </w:rPr>
      </w:pPr>
      <w:r w:rsidRPr="00925670">
        <w:rPr>
          <w:rFonts w:ascii="FrankRuehl" w:hAnsi="FrankRuehl" w:cs="FrankRuehl"/>
          <w:rtl/>
        </w:rPr>
        <w:t xml:space="preserve">חקיקה שאוזכרה: </w:t>
      </w:r>
    </w:p>
    <w:p w:rsidR="00925670" w:rsidRPr="00925670" w:rsidRDefault="00925670" w:rsidP="00925670">
      <w:pPr>
        <w:spacing w:after="120" w:line="240" w:lineRule="exact"/>
        <w:ind w:left="283" w:hanging="283"/>
        <w:jc w:val="both"/>
        <w:rPr>
          <w:rFonts w:ascii="FrankRuehl" w:hAnsi="FrankRuehl" w:cs="FrankRuehl"/>
          <w:rtl/>
        </w:rPr>
      </w:pPr>
      <w:hyperlink r:id="rId7" w:history="1">
        <w:r w:rsidRPr="00925670">
          <w:rPr>
            <w:rFonts w:ascii="FrankRuehl" w:hAnsi="FrankRuehl" w:cs="FrankRuehl"/>
            <w:color w:val="0000FF"/>
            <w:u w:val="single"/>
            <w:rtl/>
          </w:rPr>
          <w:t>חוק התכנון והבניה, תשכ"ה-1965</w:t>
        </w:r>
      </w:hyperlink>
      <w:r w:rsidRPr="00925670">
        <w:rPr>
          <w:rFonts w:ascii="FrankRuehl" w:hAnsi="FrankRuehl" w:cs="FrankRuehl"/>
          <w:rtl/>
        </w:rPr>
        <w:t xml:space="preserve"> סע'  </w:t>
      </w:r>
      <w:hyperlink r:id="rId8" w:history="1">
        <w:r w:rsidRPr="00925670">
          <w:rPr>
            <w:rFonts w:ascii="FrankRuehl" w:hAnsi="FrankRuehl" w:cs="FrankRuehl"/>
            <w:color w:val="0000FF"/>
            <w:u w:val="single"/>
            <w:rtl/>
          </w:rPr>
          <w:t>5 בתוספת 1</w:t>
        </w:r>
      </w:hyperlink>
      <w:r w:rsidRPr="00925670">
        <w:rPr>
          <w:rFonts w:ascii="FrankRuehl" w:hAnsi="FrankRuehl" w:cs="FrankRuehl"/>
          <w:rtl/>
        </w:rPr>
        <w:t xml:space="preserve">, </w:t>
      </w:r>
      <w:hyperlink r:id="rId9" w:history="1">
        <w:r w:rsidRPr="00925670">
          <w:rPr>
            <w:rFonts w:ascii="FrankRuehl" w:hAnsi="FrankRuehl" w:cs="FrankRuehl"/>
            <w:color w:val="0000FF"/>
            <w:u w:val="single"/>
            <w:rtl/>
          </w:rPr>
          <w:t>145</w:t>
        </w:r>
      </w:hyperlink>
      <w:r w:rsidRPr="00925670">
        <w:rPr>
          <w:rFonts w:ascii="FrankRuehl" w:hAnsi="FrankRuehl" w:cs="FrankRuehl"/>
          <w:rtl/>
        </w:rPr>
        <w:t xml:space="preserve">, </w:t>
      </w:r>
      <w:hyperlink r:id="rId10" w:history="1">
        <w:r w:rsidRPr="00925670">
          <w:rPr>
            <w:rFonts w:ascii="FrankRuehl" w:hAnsi="FrankRuehl" w:cs="FrankRuehl"/>
            <w:color w:val="0000FF"/>
            <w:u w:val="single"/>
            <w:rtl/>
          </w:rPr>
          <w:t>156 א'</w:t>
        </w:r>
      </w:hyperlink>
      <w:r w:rsidRPr="00925670">
        <w:rPr>
          <w:rFonts w:ascii="FrankRuehl" w:hAnsi="FrankRuehl" w:cs="FrankRuehl"/>
          <w:rtl/>
        </w:rPr>
        <w:t xml:space="preserve">, </w:t>
      </w:r>
      <w:hyperlink r:id="rId11" w:history="1">
        <w:r w:rsidRPr="00925670">
          <w:rPr>
            <w:rFonts w:ascii="FrankRuehl" w:hAnsi="FrankRuehl" w:cs="FrankRuehl"/>
            <w:color w:val="0000FF"/>
            <w:u w:val="single"/>
            <w:rtl/>
          </w:rPr>
          <w:t>204(א)(ג)</w:t>
        </w:r>
      </w:hyperlink>
      <w:r w:rsidRPr="00925670">
        <w:rPr>
          <w:rFonts w:ascii="FrankRuehl" w:hAnsi="FrankRuehl" w:cs="FrankRuehl"/>
          <w:rtl/>
        </w:rPr>
        <w:t xml:space="preserve">, </w:t>
      </w:r>
      <w:hyperlink r:id="rId12" w:history="1">
        <w:r w:rsidRPr="00925670">
          <w:rPr>
            <w:rFonts w:ascii="FrankRuehl" w:hAnsi="FrankRuehl" w:cs="FrankRuehl"/>
            <w:color w:val="0000FF"/>
            <w:u w:val="single"/>
            <w:rtl/>
          </w:rPr>
          <w:t>208</w:t>
        </w:r>
      </w:hyperlink>
      <w:r w:rsidRPr="00925670">
        <w:rPr>
          <w:rFonts w:ascii="FrankRuehl" w:hAnsi="FrankRuehl" w:cs="FrankRuehl"/>
          <w:rtl/>
        </w:rPr>
        <w:t xml:space="preserve">, </w:t>
      </w:r>
      <w:hyperlink r:id="rId13" w:history="1">
        <w:r w:rsidRPr="00925670">
          <w:rPr>
            <w:rFonts w:ascii="FrankRuehl" w:hAnsi="FrankRuehl" w:cs="FrankRuehl"/>
            <w:color w:val="0000FF"/>
            <w:u w:val="single"/>
            <w:rtl/>
          </w:rPr>
          <w:t>253</w:t>
        </w:r>
      </w:hyperlink>
    </w:p>
    <w:p w:rsidR="00925670" w:rsidRPr="00925670" w:rsidRDefault="00925670" w:rsidP="00925670">
      <w:pPr>
        <w:spacing w:after="120" w:line="240" w:lineRule="exact"/>
        <w:ind w:left="283" w:hanging="283"/>
        <w:jc w:val="both"/>
        <w:rPr>
          <w:rFonts w:ascii="FrankRuehl" w:hAnsi="FrankRuehl" w:cs="FrankRuehl"/>
          <w:rtl/>
        </w:rPr>
      </w:pPr>
      <w:hyperlink r:id="rId14" w:history="1">
        <w:r w:rsidRPr="00925670">
          <w:rPr>
            <w:rFonts w:ascii="FrankRuehl" w:hAnsi="FrankRuehl" w:cs="FrankRuehl"/>
            <w:color w:val="0000FF"/>
            <w:u w:val="single"/>
            <w:rtl/>
          </w:rPr>
          <w:t>חוק העונשין, תשל"ז-1977</w:t>
        </w:r>
      </w:hyperlink>
    </w:p>
    <w:p w:rsidR="004678E0" w:rsidRDefault="004678E0">
      <w:pPr>
        <w:rPr>
          <w:rFonts w:ascii="Arial" w:hAnsi="Arial" w:hint="cs"/>
          <w:rtl/>
        </w:rPr>
      </w:pPr>
    </w:p>
    <w:p w:rsidR="00AB3855" w:rsidRDefault="00AB3855" w:rsidP="00AB3855">
      <w:pPr>
        <w:pBdr>
          <w:top w:val="single" w:sz="4" w:space="1" w:color="auto"/>
          <w:bottom w:val="single" w:sz="4" w:space="1" w:color="auto"/>
        </w:pBdr>
        <w:spacing w:after="120" w:line="320" w:lineRule="exact"/>
        <w:jc w:val="both"/>
        <w:rPr>
          <w:rFonts w:cs="FrankRuehl" w:hint="cs"/>
          <w:szCs w:val="26"/>
          <w:rtl/>
        </w:rPr>
      </w:pPr>
      <w:bookmarkStart w:id="3" w:name="ABSTRACT_START"/>
      <w:bookmarkEnd w:id="3"/>
      <w:r>
        <w:rPr>
          <w:rFonts w:cs="FrankRuehl"/>
          <w:szCs w:val="26"/>
          <w:rtl/>
        </w:rPr>
        <w:t>מיני-רציו:</w:t>
      </w:r>
    </w:p>
    <w:p w:rsidR="00AB3855" w:rsidRPr="00AB3855" w:rsidRDefault="00AB3855" w:rsidP="00AB3855">
      <w:pPr>
        <w:pBdr>
          <w:top w:val="single" w:sz="4" w:space="1" w:color="auto"/>
          <w:bottom w:val="single" w:sz="4" w:space="1" w:color="auto"/>
        </w:pBdr>
        <w:spacing w:after="120" w:line="320" w:lineRule="exact"/>
        <w:jc w:val="both"/>
        <w:rPr>
          <w:rFonts w:cs="FrankRuehl"/>
          <w:szCs w:val="26"/>
          <w:rtl/>
        </w:rPr>
      </w:pPr>
      <w:r>
        <w:rPr>
          <w:rFonts w:cs="FrankRuehl" w:hint="cs"/>
          <w:szCs w:val="26"/>
          <w:rtl/>
        </w:rPr>
        <w:t xml:space="preserve">* </w:t>
      </w:r>
      <w:r w:rsidRPr="00AB3855">
        <w:rPr>
          <w:rFonts w:cs="FrankRuehl"/>
          <w:szCs w:val="26"/>
          <w:rtl/>
        </w:rPr>
        <w:t>בית המשפט השית על הנאשמים שהורשעו בביצוע עבירת שימוש במקרקעין ללא היתר, עונש של קנס כספי. נפסק, כי בתי המשפט נקראו להירתם למאבק בתופעה של שימוש פסול במקרקעין שיעודה חקלאית לשימושים מסחריים, שכן המוטיבציה לביצוע עבירות אלו הינה כלכלית ומשכך, הדרך להילחם בתופעה ליצור הרתעה הינה על ידי השתת קנסות כבדים שיאיינו את הרווח הטמון בביצוע העבירות.</w:t>
      </w:r>
    </w:p>
    <w:p w:rsidR="00AB3855" w:rsidRDefault="00AB3855" w:rsidP="00AB3855">
      <w:pPr>
        <w:pBdr>
          <w:top w:val="single" w:sz="4" w:space="1" w:color="auto"/>
          <w:bottom w:val="single" w:sz="4" w:space="1" w:color="auto"/>
        </w:pBdr>
        <w:spacing w:after="120" w:line="320" w:lineRule="exact"/>
        <w:jc w:val="both"/>
        <w:rPr>
          <w:rFonts w:cs="FrankRuehl"/>
          <w:szCs w:val="26"/>
          <w:rtl/>
        </w:rPr>
      </w:pPr>
      <w:r>
        <w:rPr>
          <w:rFonts w:cs="FrankRuehl"/>
          <w:szCs w:val="26"/>
          <w:rtl/>
        </w:rPr>
        <w:t>* תכנון ובנייה – ענישה – בנייה ושימוש ללא היתר</w:t>
      </w:r>
    </w:p>
    <w:p w:rsidR="00AB3855" w:rsidRDefault="00AB3855" w:rsidP="00AB3855">
      <w:pPr>
        <w:pBdr>
          <w:top w:val="single" w:sz="4" w:space="1" w:color="auto"/>
          <w:bottom w:val="single" w:sz="4" w:space="1" w:color="auto"/>
        </w:pBdr>
        <w:spacing w:after="120" w:line="320" w:lineRule="exact"/>
        <w:jc w:val="both"/>
        <w:rPr>
          <w:rFonts w:cs="FrankRuehl" w:hint="cs"/>
          <w:szCs w:val="26"/>
          <w:rtl/>
        </w:rPr>
      </w:pPr>
      <w:r>
        <w:rPr>
          <w:rFonts w:cs="FrankRuehl"/>
          <w:szCs w:val="26"/>
          <w:rtl/>
        </w:rPr>
        <w:t>* תכנון ובנייה – ענישה – מדיניות ענישה</w:t>
      </w:r>
    </w:p>
    <w:p w:rsidR="00AB3855" w:rsidRDefault="00AB3855" w:rsidP="00AB3855">
      <w:pPr>
        <w:pBdr>
          <w:top w:val="single" w:sz="4" w:space="1" w:color="auto"/>
          <w:bottom w:val="single" w:sz="4" w:space="1" w:color="auto"/>
        </w:pBdr>
        <w:spacing w:after="120" w:line="320" w:lineRule="exact"/>
        <w:jc w:val="both"/>
        <w:rPr>
          <w:rFonts w:cs="FrankRuehl" w:hint="cs"/>
          <w:szCs w:val="26"/>
          <w:rtl/>
        </w:rPr>
      </w:pPr>
      <w:r>
        <w:rPr>
          <w:rFonts w:cs="FrankRuehl" w:hint="cs"/>
          <w:szCs w:val="26"/>
          <w:rtl/>
        </w:rPr>
        <w:t>.</w:t>
      </w:r>
    </w:p>
    <w:p w:rsidR="004678E0" w:rsidRPr="00AB3855" w:rsidRDefault="004678E0" w:rsidP="00AB3855">
      <w:pPr>
        <w:pBdr>
          <w:top w:val="single" w:sz="4" w:space="1" w:color="auto"/>
          <w:bottom w:val="single" w:sz="4" w:space="1" w:color="auto"/>
        </w:pBdr>
        <w:spacing w:after="120" w:line="320" w:lineRule="exact"/>
        <w:jc w:val="both"/>
        <w:rPr>
          <w:rFonts w:cs="FrankRuehl"/>
          <w:szCs w:val="26"/>
          <w:rtl/>
        </w:rPr>
      </w:pPr>
      <w:r w:rsidRPr="00AB3855">
        <w:rPr>
          <w:rFonts w:cs="FrankRuehl"/>
          <w:szCs w:val="26"/>
          <w:rtl/>
        </w:rPr>
        <w:t>הנאשמים 1 ו- 2 הודו והורשעו במסגרת הסדר טיעון בעבירות המיוחסות להם בכתב האישום: עבירה של שימוש במקרקעין ללא היתר – עבירה על פי חוק התכנון והבנייה, לגבי נאשם 2 גם עבירה על סעיף 253 לחוק. השימוש החורג החל משנת 1990 והנאשמים נאשמים בכך, כי במהלך חמש שנים, שקדמו להגשת האישום, בצעו עבירה של שימוש חורג.</w:t>
      </w:r>
    </w:p>
    <w:p w:rsidR="00AB3855" w:rsidRDefault="00AB3855" w:rsidP="00AB3855">
      <w:pPr>
        <w:pBdr>
          <w:top w:val="single" w:sz="4" w:space="1" w:color="auto"/>
          <w:bottom w:val="single" w:sz="4" w:space="1" w:color="auto"/>
        </w:pBdr>
        <w:spacing w:after="120" w:line="320" w:lineRule="exact"/>
        <w:jc w:val="both"/>
        <w:rPr>
          <w:rFonts w:cs="FrankRuehl" w:hint="cs"/>
          <w:szCs w:val="26"/>
          <w:rtl/>
        </w:rPr>
      </w:pPr>
      <w:r>
        <w:rPr>
          <w:rFonts w:cs="FrankRuehl" w:hint="cs"/>
          <w:szCs w:val="26"/>
          <w:rtl/>
        </w:rPr>
        <w:t>.</w:t>
      </w:r>
    </w:p>
    <w:p w:rsidR="004678E0" w:rsidRPr="00AB3855" w:rsidRDefault="004678E0" w:rsidP="00AB3855">
      <w:pPr>
        <w:pBdr>
          <w:top w:val="single" w:sz="4" w:space="1" w:color="auto"/>
          <w:bottom w:val="single" w:sz="4" w:space="1" w:color="auto"/>
        </w:pBdr>
        <w:spacing w:after="120" w:line="320" w:lineRule="exact"/>
        <w:jc w:val="both"/>
        <w:rPr>
          <w:rFonts w:cs="FrankRuehl"/>
          <w:szCs w:val="26"/>
          <w:rtl/>
        </w:rPr>
      </w:pPr>
      <w:r w:rsidRPr="00AB3855">
        <w:rPr>
          <w:rFonts w:cs="FrankRuehl"/>
          <w:szCs w:val="26"/>
          <w:rtl/>
        </w:rPr>
        <w:t>בית המשפט פסק כלהלן:</w:t>
      </w:r>
    </w:p>
    <w:p w:rsidR="004678E0" w:rsidRPr="00AB3855" w:rsidRDefault="004678E0" w:rsidP="00AB3855">
      <w:pPr>
        <w:pBdr>
          <w:top w:val="single" w:sz="4" w:space="1" w:color="auto"/>
          <w:bottom w:val="single" w:sz="4" w:space="1" w:color="auto"/>
        </w:pBdr>
        <w:spacing w:after="120" w:line="320" w:lineRule="exact"/>
        <w:jc w:val="both"/>
        <w:rPr>
          <w:rFonts w:cs="FrankRuehl"/>
          <w:szCs w:val="26"/>
          <w:rtl/>
        </w:rPr>
      </w:pPr>
      <w:r w:rsidRPr="00AB3855">
        <w:rPr>
          <w:rFonts w:cs="FrankRuehl"/>
          <w:szCs w:val="26"/>
          <w:rtl/>
        </w:rPr>
        <w:lastRenderedPageBreak/>
        <w:t>בתי המשפט נקראו להירתם למאבק בתופעה של שימוש פסול במקרקעין שיעודה חקלאית לשימושים מסחריים, שכן המוטיבציה לביצוע עבירות אלו הינה כלכלית ומשכך, הדרך להילחם בתופעה ליצור הרתעה הינה על ידי השתת קנסות כבדים שיאיינו את הרווח הטמון בביצוע העבירות.</w:t>
      </w:r>
    </w:p>
    <w:p w:rsidR="004678E0" w:rsidRPr="00AB3855" w:rsidRDefault="004678E0" w:rsidP="00AB3855">
      <w:pPr>
        <w:pBdr>
          <w:top w:val="single" w:sz="4" w:space="1" w:color="auto"/>
          <w:bottom w:val="single" w:sz="4" w:space="1" w:color="auto"/>
        </w:pBdr>
        <w:spacing w:after="120" w:line="320" w:lineRule="exact"/>
        <w:jc w:val="both"/>
        <w:rPr>
          <w:rFonts w:cs="FrankRuehl"/>
          <w:szCs w:val="26"/>
          <w:rtl/>
        </w:rPr>
      </w:pPr>
      <w:r w:rsidRPr="00AB3855">
        <w:rPr>
          <w:rFonts w:cs="FrankRuehl"/>
          <w:szCs w:val="26"/>
          <w:rtl/>
        </w:rPr>
        <w:t>בהתאם לתיקון 113 לחוק העונשין שעניינו הבניית שיקול הדעת בענישה, מקבל עקרון הגמול מעמד של ממש, בשיקולי הענישה ודרישת ההלימה שבין חומרת מעשה העבירה בנסיבותיו ומידת אשמו של הנאשם וסוג ומידת העונש שיוטל עליו.</w:t>
      </w:r>
    </w:p>
    <w:p w:rsidR="004678E0" w:rsidRPr="00AB3855" w:rsidRDefault="004678E0" w:rsidP="00AB3855">
      <w:pPr>
        <w:pBdr>
          <w:top w:val="single" w:sz="4" w:space="1" w:color="auto"/>
          <w:bottom w:val="single" w:sz="4" w:space="1" w:color="auto"/>
        </w:pBdr>
        <w:spacing w:after="120" w:line="320" w:lineRule="exact"/>
        <w:jc w:val="both"/>
        <w:rPr>
          <w:rFonts w:cs="FrankRuehl"/>
          <w:szCs w:val="26"/>
          <w:rtl/>
        </w:rPr>
      </w:pPr>
      <w:r w:rsidRPr="00AB3855">
        <w:rPr>
          <w:rFonts w:cs="FrankRuehl"/>
          <w:szCs w:val="26"/>
          <w:rtl/>
        </w:rPr>
        <w:t>כאשר נדרש בית המשפט לבחון את מידת האשם במעשיו של הנאשם 2, הרי שמעבר לעצם העבירה כקבוע בחיקוק, יש לבחון את נסיבות המקרה, ועוצמת הפגיעה בערך החברתי המוגן.</w:t>
      </w:r>
    </w:p>
    <w:p w:rsidR="004678E0" w:rsidRPr="00AB3855" w:rsidRDefault="004678E0" w:rsidP="00AB3855">
      <w:pPr>
        <w:pBdr>
          <w:top w:val="single" w:sz="4" w:space="1" w:color="auto"/>
          <w:bottom w:val="single" w:sz="4" w:space="1" w:color="auto"/>
        </w:pBdr>
        <w:spacing w:after="120" w:line="320" w:lineRule="exact"/>
        <w:jc w:val="both"/>
        <w:rPr>
          <w:rFonts w:cs="FrankRuehl"/>
          <w:szCs w:val="26"/>
          <w:rtl/>
        </w:rPr>
      </w:pPr>
      <w:r w:rsidRPr="00AB3855">
        <w:rPr>
          <w:rFonts w:cs="FrankRuehl"/>
          <w:szCs w:val="26"/>
          <w:rtl/>
        </w:rPr>
        <w:t>במקרה זה, עסקינן בהפעלת גן אירועים, ללא היתר לשימוש חורג וזאת לאורך שנים רבות, ולמעשה עד עצם היום הזה.</w:t>
      </w:r>
    </w:p>
    <w:p w:rsidR="004678E0" w:rsidRDefault="004678E0">
      <w:pPr>
        <w:rPr>
          <w:rFonts w:ascii="Arial" w:hAnsi="Arial" w:hint="cs"/>
          <w:rtl/>
        </w:rPr>
      </w:pPr>
      <w:bookmarkStart w:id="4" w:name="ABSTRACT_END"/>
      <w:bookmarkEnd w:id="4"/>
    </w:p>
    <w:p w:rsidR="004678E0" w:rsidRPr="009C6EB6" w:rsidRDefault="004678E0">
      <w:pPr>
        <w:rPr>
          <w:rFonts w:ascii="Arial" w:hAnsi="Arial" w:hint="cs"/>
          <w:rtl/>
        </w:rPr>
      </w:pPr>
    </w:p>
    <w:tbl>
      <w:tblPr>
        <w:bidiVisual/>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8267A5" w:rsidRPr="009C6EB6">
        <w:trPr>
          <w:trHeight w:val="355"/>
          <w:jc w:val="center"/>
        </w:trPr>
        <w:tc>
          <w:tcPr>
            <w:tcW w:w="8820" w:type="dxa"/>
            <w:tcBorders>
              <w:top w:val="nil"/>
              <w:left w:val="nil"/>
              <w:bottom w:val="nil"/>
              <w:right w:val="nil"/>
            </w:tcBorders>
          </w:tcPr>
          <w:p w:rsidR="008267A5" w:rsidRPr="009C6EB6" w:rsidRDefault="009C6EB6">
            <w:pPr>
              <w:jc w:val="center"/>
              <w:rPr>
                <w:rFonts w:ascii="Arial" w:hAnsi="Arial"/>
                <w:sz w:val="32"/>
                <w:szCs w:val="32"/>
              </w:rPr>
            </w:pPr>
            <w:bookmarkStart w:id="5" w:name="PsakDin"/>
            <w:r w:rsidRPr="009C6EB6">
              <w:rPr>
                <w:rFonts w:ascii="Arial" w:hAnsi="Arial" w:hint="cs"/>
                <w:b/>
                <w:bCs/>
                <w:sz w:val="40"/>
                <w:szCs w:val="40"/>
                <w:rtl/>
              </w:rPr>
              <w:t>גזר  - דין</w:t>
            </w:r>
            <w:bookmarkEnd w:id="5"/>
          </w:p>
        </w:tc>
      </w:tr>
    </w:tbl>
    <w:p w:rsidR="008267A5" w:rsidRPr="009C6EB6" w:rsidRDefault="008267A5">
      <w:pPr>
        <w:rPr>
          <w:rFonts w:ascii="Arial" w:hAnsi="Arial"/>
        </w:rPr>
      </w:pPr>
    </w:p>
    <w:p w:rsidR="008267A5" w:rsidRPr="009C6EB6" w:rsidRDefault="009C6EB6">
      <w:pPr>
        <w:rPr>
          <w:rFonts w:ascii="Arial" w:hAnsi="Arial"/>
          <w:b/>
          <w:bCs/>
          <w:sz w:val="26"/>
          <w:szCs w:val="26"/>
          <w:rtl/>
        </w:rPr>
      </w:pPr>
      <w:r w:rsidRPr="009C6EB6">
        <w:rPr>
          <w:rFonts w:ascii="Arial" w:hAnsi="Arial" w:hint="cs"/>
          <w:b/>
          <w:bCs/>
          <w:sz w:val="26"/>
          <w:szCs w:val="26"/>
          <w:rtl/>
        </w:rPr>
        <w:t xml:space="preserve">כתב האישום, הודייה והרשעה: </w:t>
      </w:r>
    </w:p>
    <w:p w:rsidR="008267A5" w:rsidRPr="009C6EB6" w:rsidRDefault="008267A5">
      <w:pPr>
        <w:rPr>
          <w:rFonts w:ascii="Arial" w:hAnsi="Arial"/>
          <w:b/>
          <w:bCs/>
          <w:rtl/>
        </w:rPr>
      </w:pPr>
    </w:p>
    <w:p w:rsidR="008267A5" w:rsidRPr="009C6EB6" w:rsidRDefault="009C6EB6">
      <w:pPr>
        <w:spacing w:before="120" w:after="120" w:line="360" w:lineRule="auto"/>
        <w:jc w:val="both"/>
        <w:rPr>
          <w:rFonts w:ascii="Arial" w:hAnsi="Arial"/>
          <w:rtl/>
        </w:rPr>
      </w:pPr>
      <w:r w:rsidRPr="009C6EB6">
        <w:rPr>
          <w:rFonts w:ascii="Arial" w:hAnsi="Arial" w:hint="cs"/>
          <w:rtl/>
        </w:rPr>
        <w:t xml:space="preserve">בין הנאשמים 1 ו – 2 למאשימה נרקם הסדר טיעון, במסגרתו הוסכם כי הנאשמים 1 ו- 2 יודו, יורשעו וכי הצדדים יטענו טיעונים פתוחים לעניין גובה הקנס וההתחייבות שיוטלו על הנאשמים ומועד כניסתו של צו הסגירה לתוקף. </w:t>
      </w:r>
    </w:p>
    <w:p w:rsidR="008267A5" w:rsidRPr="009C6EB6" w:rsidRDefault="009C6EB6">
      <w:pPr>
        <w:spacing w:before="120" w:after="120" w:line="360" w:lineRule="auto"/>
        <w:jc w:val="both"/>
        <w:rPr>
          <w:rFonts w:ascii="Arial" w:hAnsi="Arial"/>
          <w:rtl/>
        </w:rPr>
      </w:pPr>
      <w:r w:rsidRPr="009C6EB6">
        <w:rPr>
          <w:rFonts w:ascii="Arial" w:hAnsi="Arial" w:hint="cs"/>
          <w:rtl/>
        </w:rPr>
        <w:t xml:space="preserve">ביום 29.09.13 הודו והורשעו הנאשמים 1 ו- 2, במסגרת הסדר הטיעון כאמור, בעבירות המיוחסות להם בכתב האישום: עבירה של שימוש במקרקעין ללא היתר - עבירה על </w:t>
      </w:r>
      <w:hyperlink r:id="rId15" w:history="1">
        <w:r w:rsidR="00925670" w:rsidRPr="00925670">
          <w:rPr>
            <w:rFonts w:ascii="Arial" w:hAnsi="Arial"/>
            <w:color w:val="0000FF"/>
            <w:u w:val="single"/>
            <w:rtl/>
          </w:rPr>
          <w:t>סעיפים 145</w:t>
        </w:r>
      </w:hyperlink>
      <w:r w:rsidRPr="009C6EB6">
        <w:rPr>
          <w:rFonts w:ascii="Arial" w:hAnsi="Arial" w:hint="cs"/>
          <w:rtl/>
        </w:rPr>
        <w:t xml:space="preserve">, </w:t>
      </w:r>
      <w:hyperlink r:id="rId16" w:history="1">
        <w:r w:rsidR="00925670" w:rsidRPr="00925670">
          <w:rPr>
            <w:rStyle w:val="Hyperlink"/>
            <w:rFonts w:ascii="Arial" w:hAnsi="Arial"/>
            <w:rtl/>
          </w:rPr>
          <w:t>156 א'</w:t>
        </w:r>
      </w:hyperlink>
      <w:r w:rsidRPr="009C6EB6">
        <w:rPr>
          <w:rFonts w:ascii="Arial" w:hAnsi="Arial" w:hint="cs"/>
          <w:rtl/>
        </w:rPr>
        <w:t xml:space="preserve">, </w:t>
      </w:r>
      <w:hyperlink r:id="rId17" w:history="1">
        <w:r w:rsidR="00925670" w:rsidRPr="00925670">
          <w:rPr>
            <w:rStyle w:val="Hyperlink"/>
            <w:rFonts w:ascii="Arial" w:hAnsi="Arial"/>
            <w:rtl/>
          </w:rPr>
          <w:t>204(א)(ג)</w:t>
        </w:r>
      </w:hyperlink>
      <w:r w:rsidRPr="009C6EB6">
        <w:rPr>
          <w:rFonts w:ascii="Arial" w:hAnsi="Arial" w:hint="cs"/>
          <w:rtl/>
        </w:rPr>
        <w:t xml:space="preserve"> ו - </w:t>
      </w:r>
      <w:hyperlink r:id="rId18" w:history="1">
        <w:r w:rsidR="00925670" w:rsidRPr="00925670">
          <w:rPr>
            <w:rFonts w:ascii="Arial" w:hAnsi="Arial"/>
            <w:color w:val="0000FF"/>
            <w:u w:val="single"/>
            <w:rtl/>
          </w:rPr>
          <w:t>208</w:t>
        </w:r>
      </w:hyperlink>
      <w:r w:rsidRPr="009C6EB6">
        <w:rPr>
          <w:rFonts w:ascii="Arial" w:hAnsi="Arial" w:hint="cs"/>
          <w:rtl/>
        </w:rPr>
        <w:t xml:space="preserve"> ל</w:t>
      </w:r>
      <w:hyperlink r:id="rId19" w:history="1">
        <w:r w:rsidRPr="009C6EB6">
          <w:rPr>
            <w:rFonts w:ascii="Arial" w:hAnsi="Arial"/>
            <w:color w:val="0000FF"/>
            <w:u w:val="single"/>
            <w:rtl/>
          </w:rPr>
          <w:t>חוק התכנון והבניה</w:t>
        </w:r>
      </w:hyperlink>
      <w:r w:rsidRPr="009C6EB6">
        <w:rPr>
          <w:rFonts w:ascii="Arial" w:hAnsi="Arial" w:hint="cs"/>
          <w:rtl/>
        </w:rPr>
        <w:t>, תשכ"ה – 1965 (להלן –</w:t>
      </w:r>
      <w:r w:rsidRPr="009C6EB6">
        <w:rPr>
          <w:rFonts w:ascii="Arial" w:hAnsi="Arial" w:hint="cs"/>
          <w:b/>
          <w:bCs/>
          <w:rtl/>
        </w:rPr>
        <w:t>החוק</w:t>
      </w:r>
      <w:r w:rsidRPr="009C6EB6">
        <w:rPr>
          <w:rFonts w:ascii="Arial" w:hAnsi="Arial" w:hint="cs"/>
          <w:rtl/>
        </w:rPr>
        <w:t xml:space="preserve">), לגבי נאשם 2 - גם עבירה על </w:t>
      </w:r>
      <w:hyperlink r:id="rId20" w:history="1">
        <w:r w:rsidR="00925670" w:rsidRPr="00925670">
          <w:rPr>
            <w:rFonts w:ascii="Arial" w:hAnsi="Arial"/>
            <w:color w:val="0000FF"/>
            <w:u w:val="single"/>
            <w:rtl/>
          </w:rPr>
          <w:t>סעיף 253</w:t>
        </w:r>
      </w:hyperlink>
      <w:r w:rsidRPr="009C6EB6">
        <w:rPr>
          <w:rFonts w:ascii="Arial" w:hAnsi="Arial" w:hint="cs"/>
          <w:rtl/>
        </w:rPr>
        <w:t xml:space="preserve"> לחוק. השימוש החורג החל בשנת 1990 והנאשמים נאשמים בכך, כי במהלך חמש שנים, שקדמו להגשת כתב האישום, בצעו עבירה של שימוש חורג.</w:t>
      </w:r>
    </w:p>
    <w:p w:rsidR="008267A5" w:rsidRPr="009C6EB6" w:rsidRDefault="009C6EB6">
      <w:pPr>
        <w:spacing w:before="120" w:after="120" w:line="360" w:lineRule="auto"/>
        <w:jc w:val="both"/>
        <w:rPr>
          <w:rtl/>
        </w:rPr>
      </w:pPr>
      <w:r w:rsidRPr="009C6EB6">
        <w:rPr>
          <w:rFonts w:ascii="Arial" w:hAnsi="Arial" w:hint="cs"/>
          <w:rtl/>
        </w:rPr>
        <w:t>מעובדות כתב האישום עולה כי</w:t>
      </w:r>
      <w:r w:rsidRPr="009C6EB6">
        <w:rPr>
          <w:rFonts w:hint="cs"/>
          <w:rtl/>
        </w:rPr>
        <w:t xml:space="preserve"> הנאשמת 1 היא חברה אשר עשתה שימוש במבנים ששטחם הכולל הינו כ – 7,145 מ"ר, המצויים בחלקה 78  גוש 6348 ברחוב ירקונים 158 פ"ת לצורך עריכת אירועים (להלן: </w:t>
      </w:r>
      <w:r w:rsidRPr="009C6EB6">
        <w:rPr>
          <w:rFonts w:hint="cs"/>
          <w:b/>
          <w:bCs/>
          <w:rtl/>
        </w:rPr>
        <w:t>גן האירועים</w:t>
      </w:r>
      <w:r w:rsidRPr="009C6EB6">
        <w:rPr>
          <w:rFonts w:hint="cs"/>
          <w:rtl/>
        </w:rPr>
        <w:t>)</w:t>
      </w:r>
    </w:p>
    <w:p w:rsidR="008267A5" w:rsidRPr="009C6EB6" w:rsidRDefault="009C6EB6">
      <w:pPr>
        <w:spacing w:before="120" w:after="120" w:line="360" w:lineRule="auto"/>
        <w:jc w:val="both"/>
        <w:rPr>
          <w:rtl/>
        </w:rPr>
      </w:pPr>
      <w:r w:rsidRPr="009C6EB6">
        <w:rPr>
          <w:rFonts w:hint="cs"/>
          <w:rtl/>
        </w:rPr>
        <w:t xml:space="preserve">שטחה של חלקה 78 הינו כ – 10,113 מ"ר והיא מצויה  במרחב התכנון של הוועדה המקומית לתכנון ולבנייה פתח תקווה (להלן - </w:t>
      </w:r>
      <w:r w:rsidRPr="009C6EB6">
        <w:rPr>
          <w:rFonts w:hint="cs"/>
          <w:b/>
          <w:bCs/>
          <w:rtl/>
        </w:rPr>
        <w:t>המקרקעין</w:t>
      </w:r>
      <w:r w:rsidRPr="009C6EB6">
        <w:rPr>
          <w:rFonts w:hint="cs"/>
          <w:rtl/>
        </w:rPr>
        <w:t xml:space="preserve">). </w:t>
      </w:r>
    </w:p>
    <w:p w:rsidR="008267A5" w:rsidRPr="009C6EB6" w:rsidRDefault="009C6EB6">
      <w:pPr>
        <w:spacing w:before="120" w:after="120" w:line="360" w:lineRule="auto"/>
        <w:jc w:val="both"/>
        <w:rPr>
          <w:rtl/>
        </w:rPr>
      </w:pPr>
      <w:r w:rsidRPr="009C6EB6">
        <w:rPr>
          <w:rFonts w:hint="cs"/>
          <w:rtl/>
        </w:rPr>
        <w:t xml:space="preserve">נאשם מס' 2 הינו מנהל פעיל של נאשמת 1 ובעל מניות בה. (הנאשם האחר, אברהם שירזי ז"ל, אשר נפטר לאחר הגשת כתב האישום היה מחזיק המקרקעין ובשל פטירתו הופסקו ההליכים כנגדו). </w:t>
      </w:r>
    </w:p>
    <w:p w:rsidR="008267A5" w:rsidRPr="009C6EB6" w:rsidRDefault="009C6EB6">
      <w:pPr>
        <w:spacing w:before="120" w:after="120" w:line="360" w:lineRule="auto"/>
        <w:jc w:val="both"/>
        <w:rPr>
          <w:rtl/>
        </w:rPr>
      </w:pPr>
      <w:r w:rsidRPr="009C6EB6">
        <w:rPr>
          <w:rFonts w:hint="cs"/>
          <w:rtl/>
        </w:rPr>
        <w:t xml:space="preserve">המצב התכנוני במקרקעין, כעולה מכתב האישום - על המקרקעין חלה תכנית מתאר מקומית פת/2000 אשר פורסמה למתן תוקף ב.י.פ 4004 החל מיום 14.5.92 ולפיה המקרקעין מיועדים </w:t>
      </w:r>
      <w:r w:rsidRPr="009C6EB6">
        <w:rPr>
          <w:rFonts w:hint="cs"/>
          <w:rtl/>
        </w:rPr>
        <w:lastRenderedPageBreak/>
        <w:t xml:space="preserve">לשימוש חקלאי; כן חלה על המקרקעין תכנית מתאר מחוזית תמ"מ 21/3 אשר פורסמה למתן תוקף בי.פ 5236 עמ' 284 ביום 12.11.03, המגדירה את המקרקעין כאזור נחל וסביבותיו. </w:t>
      </w:r>
    </w:p>
    <w:bookmarkEnd w:id="0"/>
    <w:p w:rsidR="008267A5" w:rsidRDefault="009C6EB6">
      <w:pPr>
        <w:spacing w:before="120" w:after="120" w:line="360" w:lineRule="auto"/>
        <w:jc w:val="both"/>
        <w:rPr>
          <w:rtl/>
        </w:rPr>
      </w:pPr>
      <w:r>
        <w:rPr>
          <w:rFonts w:hint="cs"/>
          <w:rtl/>
        </w:rPr>
        <w:t xml:space="preserve">תמ"מ 21/3 קובעת, כי יש צורך להכין לכל אחד מחמשת הנחלים אליהם מתייחסת התכנית, ביניהם נחל הירקון, תכנית מתאר מחוזית חלקית ונפרדת שבה יקבעו יעודי הקרקע המותרים. </w:t>
      </w:r>
    </w:p>
    <w:p w:rsidR="008267A5" w:rsidRDefault="009C6EB6">
      <w:pPr>
        <w:spacing w:before="120" w:after="120" w:line="360" w:lineRule="auto"/>
        <w:jc w:val="both"/>
        <w:rPr>
          <w:rtl/>
        </w:rPr>
      </w:pPr>
      <w:r>
        <w:rPr>
          <w:rFonts w:hint="cs"/>
          <w:rtl/>
        </w:rPr>
        <w:t xml:space="preserve">עד לאישורה של תכנית מתאר חלקית כאמור, השימושים שהותרו באזור הנחל וסביבותיו הם אלה המותרים באזור חקלאי/נוף כפרי פתוח. </w:t>
      </w:r>
    </w:p>
    <w:p w:rsidR="008267A5" w:rsidRDefault="009C6EB6">
      <w:pPr>
        <w:spacing w:before="120" w:after="120" w:line="360" w:lineRule="auto"/>
        <w:jc w:val="both"/>
        <w:rPr>
          <w:rtl/>
        </w:rPr>
      </w:pPr>
      <w:r>
        <w:rPr>
          <w:rFonts w:hint="cs"/>
          <w:rtl/>
        </w:rPr>
        <w:t xml:space="preserve">השימושים פורטו בסעיף 7.5 לתקנון התכנית: חקלאות, מתקני ספורט ונופש, שטחים פתוחים, ייעור, נופש, תיירות, חניונים, דרכים וחניות, מסעדות ומזנונים, מתקני תשתית תחנות תדלוק. </w:t>
      </w:r>
    </w:p>
    <w:p w:rsidR="008267A5" w:rsidRDefault="009C6EB6">
      <w:pPr>
        <w:spacing w:before="120" w:after="120" w:line="360" w:lineRule="auto"/>
        <w:jc w:val="both"/>
        <w:rPr>
          <w:rtl/>
        </w:rPr>
      </w:pPr>
      <w:r>
        <w:rPr>
          <w:rFonts w:hint="cs"/>
          <w:rtl/>
        </w:rPr>
        <w:t xml:space="preserve">ביום 30.4.08 פורסמה בי.פ מס' 5798 תמ"מ 10/3, תכנית מתאר מחוזית חלקית למרחב נחל הירקון. </w:t>
      </w:r>
    </w:p>
    <w:p w:rsidR="008267A5" w:rsidRDefault="009C6EB6">
      <w:pPr>
        <w:spacing w:before="120" w:after="120" w:line="360" w:lineRule="auto"/>
        <w:jc w:val="both"/>
        <w:rPr>
          <w:rtl/>
        </w:rPr>
      </w:pPr>
      <w:r>
        <w:rPr>
          <w:rFonts w:hint="cs"/>
          <w:rtl/>
        </w:rPr>
        <w:t xml:space="preserve">על פי תמ"מ 10/3, ייעודם של המקרקעין הנ"ל הינו שטח חקלאי מיוחד. מטרתה של התכנית, בין היתר, לשמר משאבי טבע ונוף לאורך נחל הירקון לטובת הציבור הרחב. מרבית שטח התכנית הוגדר כשטח חקלאי מיוחד כדי לשמור על האופי החקלאי הפתוח של האזור כחלק מפארק הירקון, אשר יהווה ריאה ירוקה של אזור המרכז הצפוף. </w:t>
      </w:r>
    </w:p>
    <w:p w:rsidR="008267A5" w:rsidRDefault="009C6EB6">
      <w:pPr>
        <w:spacing w:before="120" w:after="120" w:line="360" w:lineRule="auto"/>
        <w:jc w:val="both"/>
        <w:rPr>
          <w:rtl/>
        </w:rPr>
      </w:pPr>
      <w:r>
        <w:rPr>
          <w:rFonts w:hint="cs"/>
          <w:rtl/>
        </w:rPr>
        <w:t xml:space="preserve">המקרקעין אף הוכרזו כקרקע חקלאית מתוקף סמכותה של הוועדה לשמירה על קרקע חקלאית ושטחים פתוחים על פי </w:t>
      </w:r>
      <w:hyperlink r:id="rId21" w:history="1">
        <w:r w:rsidR="00925670" w:rsidRPr="00925670">
          <w:rPr>
            <w:color w:val="0000FF"/>
            <w:u w:val="single"/>
            <w:rtl/>
          </w:rPr>
          <w:t>סעיף 5</w:t>
        </w:r>
      </w:hyperlink>
      <w:r>
        <w:rPr>
          <w:rFonts w:hint="cs"/>
          <w:rtl/>
        </w:rPr>
        <w:t xml:space="preserve"> לתוספת הראשונה ל</w:t>
      </w:r>
      <w:hyperlink r:id="rId22" w:history="1">
        <w:r w:rsidRPr="009C6EB6">
          <w:rPr>
            <w:color w:val="0000FF"/>
            <w:u w:val="single"/>
            <w:rtl/>
          </w:rPr>
          <w:t>חוק התכנון והבנייה</w:t>
        </w:r>
      </w:hyperlink>
      <w:r>
        <w:rPr>
          <w:rFonts w:hint="cs"/>
          <w:rtl/>
        </w:rPr>
        <w:t xml:space="preserve"> תשכ"ה – 1965 בי.פ 4946 ביום 26.12.00. </w:t>
      </w:r>
    </w:p>
    <w:p w:rsidR="008267A5" w:rsidRDefault="008267A5">
      <w:pPr>
        <w:spacing w:before="120" w:after="120" w:line="360" w:lineRule="auto"/>
        <w:jc w:val="both"/>
        <w:rPr>
          <w:rtl/>
        </w:rPr>
      </w:pPr>
    </w:p>
    <w:p w:rsidR="008267A5" w:rsidRDefault="009C6EB6">
      <w:pPr>
        <w:spacing w:before="120" w:after="120" w:line="360" w:lineRule="auto"/>
        <w:jc w:val="both"/>
        <w:rPr>
          <w:sz w:val="26"/>
          <w:szCs w:val="26"/>
          <w:u w:val="double"/>
          <w:rtl/>
        </w:rPr>
      </w:pPr>
      <w:r>
        <w:rPr>
          <w:rFonts w:hint="cs"/>
          <w:b/>
          <w:bCs/>
          <w:sz w:val="26"/>
          <w:szCs w:val="26"/>
          <w:u w:val="double"/>
          <w:rtl/>
        </w:rPr>
        <w:t>טיעוני הצדדים  לעונש</w:t>
      </w:r>
      <w:r>
        <w:rPr>
          <w:rFonts w:hint="cs"/>
          <w:sz w:val="26"/>
          <w:szCs w:val="26"/>
          <w:u w:val="double"/>
          <w:rtl/>
        </w:rPr>
        <w:t>:</w:t>
      </w:r>
    </w:p>
    <w:p w:rsidR="008267A5" w:rsidRDefault="009C6EB6">
      <w:pPr>
        <w:spacing w:before="120" w:after="120" w:line="360" w:lineRule="auto"/>
        <w:jc w:val="both"/>
        <w:rPr>
          <w:rtl/>
        </w:rPr>
      </w:pPr>
      <w:r>
        <w:rPr>
          <w:rFonts w:hint="cs"/>
          <w:rtl/>
        </w:rPr>
        <w:t xml:space="preserve">ביום 17.11.2013 הביאו הצדדים ראיותיהם לעניין העונש וטענו טיעוניהם. </w:t>
      </w:r>
    </w:p>
    <w:p w:rsidR="008267A5" w:rsidRDefault="009C6EB6">
      <w:pPr>
        <w:spacing w:before="120" w:after="120" w:line="360" w:lineRule="auto"/>
        <w:jc w:val="both"/>
        <w:rPr>
          <w:rtl/>
        </w:rPr>
      </w:pPr>
      <w:r>
        <w:rPr>
          <w:rFonts w:hint="cs"/>
          <w:b/>
          <w:bCs/>
          <w:u w:val="single"/>
          <w:rtl/>
        </w:rPr>
        <w:t>באת כוח המאשימה טענה לעונש</w:t>
      </w:r>
      <w:r>
        <w:rPr>
          <w:rFonts w:hint="cs"/>
          <w:u w:val="single"/>
          <w:rtl/>
        </w:rPr>
        <w:t>:</w:t>
      </w:r>
    </w:p>
    <w:p w:rsidR="008267A5" w:rsidRDefault="009C6EB6">
      <w:pPr>
        <w:spacing w:before="120" w:after="120" w:line="360" w:lineRule="auto"/>
        <w:jc w:val="both"/>
        <w:rPr>
          <w:rtl/>
        </w:rPr>
      </w:pPr>
      <w:r>
        <w:rPr>
          <w:rFonts w:hint="cs"/>
          <w:rtl/>
        </w:rPr>
        <w:t xml:space="preserve">מטעם המאשימה הוגשו הראיות הבאות:  </w:t>
      </w:r>
      <w:r>
        <w:rPr>
          <w:rFonts w:hint="cs"/>
          <w:b/>
          <w:bCs/>
          <w:rtl/>
        </w:rPr>
        <w:t xml:space="preserve">ת/1 </w:t>
      </w:r>
      <w:r>
        <w:rPr>
          <w:rFonts w:hint="cs"/>
          <w:rtl/>
        </w:rPr>
        <w:t>-  כתב אישום ב</w:t>
      </w:r>
      <w:hyperlink r:id="rId23" w:history="1">
        <w:r w:rsidRPr="009C6EB6">
          <w:rPr>
            <w:color w:val="0000FF"/>
            <w:u w:val="single"/>
            <w:rtl/>
          </w:rPr>
          <w:t>ת.פ. 1835/96;</w:t>
        </w:r>
      </w:hyperlink>
      <w:r>
        <w:rPr>
          <w:rFonts w:hint="cs"/>
          <w:b/>
          <w:bCs/>
          <w:rtl/>
        </w:rPr>
        <w:t xml:space="preserve"> ת/ 2  - </w:t>
      </w:r>
      <w:r>
        <w:rPr>
          <w:rFonts w:hint="cs"/>
          <w:rtl/>
        </w:rPr>
        <w:t>היתר בניה;</w:t>
      </w:r>
      <w:r>
        <w:rPr>
          <w:rFonts w:hint="cs"/>
          <w:b/>
          <w:bCs/>
          <w:rtl/>
        </w:rPr>
        <w:t xml:space="preserve">  ת/3 – </w:t>
      </w:r>
      <w:r>
        <w:rPr>
          <w:rFonts w:hint="cs"/>
          <w:rtl/>
        </w:rPr>
        <w:t xml:space="preserve">צילומי אוויר שנערכו ע"י היחידה הארצית לפיקוח על הבניה; </w:t>
      </w:r>
      <w:r>
        <w:rPr>
          <w:rFonts w:hint="cs"/>
          <w:b/>
          <w:bCs/>
          <w:rtl/>
        </w:rPr>
        <w:t>ת/4</w:t>
      </w:r>
      <w:r>
        <w:rPr>
          <w:rFonts w:hint="cs"/>
          <w:rtl/>
        </w:rPr>
        <w:t xml:space="preserve"> ו- </w:t>
      </w:r>
      <w:r>
        <w:rPr>
          <w:rFonts w:hint="cs"/>
          <w:b/>
          <w:bCs/>
          <w:rtl/>
        </w:rPr>
        <w:t>ת/5</w:t>
      </w:r>
      <w:r>
        <w:rPr>
          <w:rFonts w:hint="cs"/>
          <w:rtl/>
        </w:rPr>
        <w:t xml:space="preserve"> – תמונות גן האירועים ושביל הכניסה; </w:t>
      </w:r>
      <w:r>
        <w:rPr>
          <w:rFonts w:hint="cs"/>
          <w:b/>
          <w:bCs/>
          <w:rtl/>
        </w:rPr>
        <w:t xml:space="preserve">ת/6 ו- ת/7 – </w:t>
      </w:r>
      <w:r>
        <w:rPr>
          <w:rFonts w:hint="cs"/>
          <w:rtl/>
        </w:rPr>
        <w:t>פסיקה.</w:t>
      </w:r>
    </w:p>
    <w:p w:rsidR="008267A5" w:rsidRDefault="009C6EB6">
      <w:pPr>
        <w:spacing w:before="120" w:after="120" w:line="360" w:lineRule="auto"/>
        <w:jc w:val="both"/>
        <w:rPr>
          <w:rtl/>
        </w:rPr>
      </w:pPr>
      <w:r>
        <w:rPr>
          <w:rFonts w:hint="cs"/>
          <w:rtl/>
        </w:rPr>
        <w:t xml:space="preserve">ב"כ המאשימה, בטיעוניה לעונש, הדגישה כי עסקינן בגן אירועים גדול, המשתרע כעל שטח של כ- שבעה דונם, הכולל, שטח בנוי בגודל של כ- 1,600 מ"ר; ריצוף וגינון בשטח של כ- 1,500 מ"ר ושטח חנייה מאספלט בגודל של כ- 4,000 מ"ר. </w:t>
      </w:r>
    </w:p>
    <w:p w:rsidR="008267A5" w:rsidRDefault="008267A5">
      <w:pPr>
        <w:spacing w:line="360" w:lineRule="auto"/>
        <w:jc w:val="both"/>
        <w:rPr>
          <w:rtl/>
        </w:rPr>
      </w:pPr>
    </w:p>
    <w:p w:rsidR="008267A5" w:rsidRDefault="009C6EB6">
      <w:pPr>
        <w:spacing w:line="360" w:lineRule="auto"/>
        <w:jc w:val="both"/>
        <w:rPr>
          <w:rtl/>
        </w:rPr>
      </w:pPr>
      <w:r>
        <w:rPr>
          <w:rFonts w:hint="cs"/>
          <w:rtl/>
        </w:rPr>
        <w:t xml:space="preserve">ב"כ המאשימה הדגישה, כי כבר בינואר 1999 ידעו הנאשמים  כי הפעלת גן האירועים במקום אינה חוקית וכי לא קיים גם כיום כל אופק תכנוני לייחס לגן האירועים. </w:t>
      </w:r>
    </w:p>
    <w:p w:rsidR="008267A5" w:rsidRDefault="008267A5">
      <w:pPr>
        <w:spacing w:line="360" w:lineRule="auto"/>
        <w:jc w:val="both"/>
        <w:rPr>
          <w:rtl/>
        </w:rPr>
      </w:pPr>
    </w:p>
    <w:p w:rsidR="008267A5" w:rsidRDefault="009C6EB6">
      <w:pPr>
        <w:spacing w:line="360" w:lineRule="auto"/>
        <w:jc w:val="both"/>
        <w:rPr>
          <w:rtl/>
        </w:rPr>
      </w:pPr>
      <w:r>
        <w:rPr>
          <w:rFonts w:hint="cs"/>
          <w:rtl/>
        </w:rPr>
        <w:lastRenderedPageBreak/>
        <w:t>ב"כ המאשימה, הפנתה לטיעוניה הנרחבים אשר נפרשו על-ידיה במסגרת תיקים נוספים שעניינם גני אירועים באותו האיזור ועתרה, כי אלו יהוו חלק בלתי נפרד מטיעוניה בתיק זה.</w:t>
      </w:r>
    </w:p>
    <w:p w:rsidR="008267A5" w:rsidRDefault="008267A5">
      <w:pPr>
        <w:spacing w:line="360" w:lineRule="auto"/>
        <w:jc w:val="both"/>
        <w:rPr>
          <w:rtl/>
        </w:rPr>
      </w:pPr>
    </w:p>
    <w:p w:rsidR="008267A5" w:rsidRDefault="009C6EB6">
      <w:pPr>
        <w:spacing w:line="360" w:lineRule="auto"/>
        <w:jc w:val="both"/>
        <w:rPr>
          <w:rtl/>
        </w:rPr>
      </w:pPr>
      <w:r>
        <w:rPr>
          <w:rFonts w:hint="cs"/>
          <w:rtl/>
        </w:rPr>
        <w:t xml:space="preserve">לטעמה, יש להטיל על הנאשמים ענישה ברף העליון של מתחם הענישה (250,000 ₪ בייחס לנאשמת 1 ו – 75,000 – 100,000 ₪ לעניין הנאשם 2), אשר ישקף את השימוש הארוך שעשו  בנכס ואת טובת ההנאה שהייתה גלומה לצד אותו שימוש בלתי חוקי. כמו כן, עתרה ב"כ המאשימה, להטלת התחייבות כפולות, וקביעת מועד להפסקת השימוש החורג ופינוי הנאשמים מהנכס, אשר יתאם את המועד שנפסק בתיקים נוספים של גני אירועים סמוכים -  19.5.15. </w:t>
      </w:r>
    </w:p>
    <w:p w:rsidR="008267A5" w:rsidRDefault="008267A5">
      <w:pPr>
        <w:spacing w:line="360" w:lineRule="auto"/>
        <w:jc w:val="both"/>
        <w:rPr>
          <w:rtl/>
        </w:rPr>
      </w:pPr>
    </w:p>
    <w:p w:rsidR="008267A5" w:rsidRDefault="009C6EB6">
      <w:pPr>
        <w:spacing w:line="360" w:lineRule="auto"/>
        <w:jc w:val="both"/>
        <w:rPr>
          <w:b/>
          <w:bCs/>
          <w:u w:val="single"/>
          <w:rtl/>
        </w:rPr>
      </w:pPr>
      <w:r>
        <w:rPr>
          <w:rFonts w:hint="cs"/>
          <w:b/>
          <w:bCs/>
          <w:u w:val="single"/>
          <w:rtl/>
        </w:rPr>
        <w:t>ב"כ הנאשמים טען לעונש:</w:t>
      </w:r>
    </w:p>
    <w:p w:rsidR="008267A5" w:rsidRDefault="009C6EB6">
      <w:pPr>
        <w:spacing w:line="360" w:lineRule="auto"/>
        <w:jc w:val="both"/>
        <w:rPr>
          <w:rtl/>
        </w:rPr>
      </w:pPr>
      <w:r>
        <w:rPr>
          <w:rFonts w:hint="cs"/>
          <w:rtl/>
        </w:rPr>
        <w:t xml:space="preserve">מטעם ב"כ הנאשמים הוגשו הראיות הבאות: </w:t>
      </w:r>
      <w:r>
        <w:rPr>
          <w:rFonts w:hint="cs"/>
          <w:b/>
          <w:bCs/>
          <w:rtl/>
        </w:rPr>
        <w:t>נ/1</w:t>
      </w:r>
      <w:r>
        <w:rPr>
          <w:rFonts w:hint="cs"/>
          <w:rtl/>
        </w:rPr>
        <w:t xml:space="preserve"> – אישור עירייה משנת 99 בדבר תשלום היטל השבחה; </w:t>
      </w:r>
      <w:r>
        <w:rPr>
          <w:rFonts w:hint="cs"/>
          <w:b/>
          <w:bCs/>
          <w:rtl/>
        </w:rPr>
        <w:t>נ/2</w:t>
      </w:r>
      <w:r>
        <w:rPr>
          <w:rFonts w:hint="cs"/>
          <w:rtl/>
        </w:rPr>
        <w:t xml:space="preserve"> – בקשה לשימוש חורג משנת 1997; </w:t>
      </w:r>
      <w:r>
        <w:rPr>
          <w:rFonts w:hint="cs"/>
          <w:b/>
          <w:bCs/>
          <w:rtl/>
        </w:rPr>
        <w:t>נ/3</w:t>
      </w:r>
      <w:r>
        <w:rPr>
          <w:rFonts w:hint="cs"/>
          <w:rtl/>
        </w:rPr>
        <w:t xml:space="preserve"> – רשימת עובדים; </w:t>
      </w:r>
      <w:r>
        <w:rPr>
          <w:rFonts w:hint="cs"/>
          <w:b/>
          <w:bCs/>
          <w:rtl/>
        </w:rPr>
        <w:t>נ/4</w:t>
      </w:r>
      <w:r>
        <w:rPr>
          <w:rFonts w:hint="cs"/>
          <w:rtl/>
        </w:rPr>
        <w:t xml:space="preserve"> –אישורים רפואיים; </w:t>
      </w:r>
      <w:r>
        <w:rPr>
          <w:rFonts w:hint="cs"/>
          <w:b/>
          <w:bCs/>
          <w:rtl/>
        </w:rPr>
        <w:t>נ/5 –</w:t>
      </w:r>
      <w:r>
        <w:rPr>
          <w:rFonts w:hint="cs"/>
          <w:rtl/>
        </w:rPr>
        <w:t xml:space="preserve"> אישור רשות כבאות ואישור משטרה; </w:t>
      </w:r>
      <w:r>
        <w:rPr>
          <w:rFonts w:hint="cs"/>
          <w:b/>
          <w:bCs/>
          <w:rtl/>
        </w:rPr>
        <w:t>נ/6</w:t>
      </w:r>
      <w:r>
        <w:rPr>
          <w:rFonts w:hint="cs"/>
          <w:rtl/>
        </w:rPr>
        <w:t xml:space="preserve"> – חשבונית פינוי שפכים חודשית</w:t>
      </w:r>
      <w:r>
        <w:rPr>
          <w:rFonts w:hint="cs"/>
          <w:b/>
          <w:bCs/>
          <w:rtl/>
        </w:rPr>
        <w:t>; נ/7</w:t>
      </w:r>
      <w:r>
        <w:rPr>
          <w:rFonts w:hint="cs"/>
          <w:rtl/>
        </w:rPr>
        <w:t xml:space="preserve">  - תשלום ארנונה; </w:t>
      </w:r>
      <w:r>
        <w:rPr>
          <w:rFonts w:hint="cs"/>
          <w:b/>
          <w:bCs/>
          <w:rtl/>
        </w:rPr>
        <w:t xml:space="preserve">נ/8 </w:t>
      </w:r>
      <w:r>
        <w:rPr>
          <w:rFonts w:hint="cs"/>
          <w:rtl/>
        </w:rPr>
        <w:t xml:space="preserve">– המלצות ומכתבי תודה; </w:t>
      </w:r>
      <w:r>
        <w:rPr>
          <w:rFonts w:hint="cs"/>
          <w:b/>
          <w:bCs/>
          <w:rtl/>
        </w:rPr>
        <w:t>נ/9</w:t>
      </w:r>
      <w:r>
        <w:rPr>
          <w:rFonts w:hint="cs"/>
          <w:rtl/>
        </w:rPr>
        <w:t xml:space="preserve"> – דחיית בקשת הנאשמים לרשיון עסק.</w:t>
      </w:r>
    </w:p>
    <w:p w:rsidR="008267A5" w:rsidRDefault="008267A5">
      <w:pPr>
        <w:spacing w:line="360" w:lineRule="auto"/>
        <w:jc w:val="both"/>
        <w:rPr>
          <w:rtl/>
        </w:rPr>
      </w:pPr>
    </w:p>
    <w:p w:rsidR="008267A5" w:rsidRDefault="009C6EB6">
      <w:pPr>
        <w:spacing w:line="360" w:lineRule="auto"/>
        <w:jc w:val="both"/>
        <w:rPr>
          <w:rtl/>
        </w:rPr>
      </w:pPr>
      <w:r>
        <w:rPr>
          <w:rFonts w:hint="cs"/>
          <w:rtl/>
        </w:rPr>
        <w:t>ב"כ הנאשמים, טען בייחס להתנהלות הרשות כלפי הנאשם 2. לטעמו, הנאשם 2 הוטעה על-ידי הרשויות.  הנאשם 2, שהינו יהלומן, השקיע במקום השקעות רבות, ביקש לאורך כל השנים רשיון עסק ( נ/9, נ/1 ) בשנות התשעים אף קיבל היתר לשימוש חורג לתקופה של 5 שנים.  שנתיים לאחר מכן, נדרש לשלם היטל השבחה ואף שילם (נ/1). לצורך כך, מכר את ביתו ועשה מאמצים כבירים לצורך קבלת רישיון עסק.  הסיבה לאי קבלת רשיון העסק, אינה נעוצה במחדלו של הנאשם 2, אלא בהחלטה שרירותית של רשויות התכנון ששינתה את המצב באופן חד צדדי. התנהלות הרשויות במקרה דנן, כך לטעמו של הסנגור, הינה פגיעה בעיקרון החוקתיות. ב"כ הנאשם בטיעוניו לעונש אף טען לאכיפה בררנית.</w:t>
      </w:r>
    </w:p>
    <w:p w:rsidR="008267A5" w:rsidRDefault="008267A5">
      <w:pPr>
        <w:spacing w:line="360" w:lineRule="auto"/>
        <w:jc w:val="both"/>
        <w:rPr>
          <w:rtl/>
        </w:rPr>
      </w:pPr>
    </w:p>
    <w:p w:rsidR="008267A5" w:rsidRDefault="009C6EB6">
      <w:pPr>
        <w:spacing w:line="360" w:lineRule="auto"/>
        <w:jc w:val="both"/>
        <w:rPr>
          <w:rtl/>
        </w:rPr>
      </w:pPr>
      <w:r>
        <w:rPr>
          <w:rFonts w:hint="cs"/>
          <w:rtl/>
        </w:rPr>
        <w:t>הסנגור הוסיף ופירט לעניין נסיבותיו האישיות של הנאשם 2 – אדם נורמטיבי, הודה בהזדמנות הראשונה, ניסה לעבוד בצורה נורמטיבית, נקלע למצב של אי חוקיות לאור הנסיבות התכנוניות שנוצרו, מצבו הבריאותי וגילו אינם מאפשרים לו השתלבות בכל עבודה אחרת, רווחיו של העסק נמוכים ומצבו הכלכלי של הנאשם אינו שפיר. הנאשם נושא בכל מיסי העירייה המוטלים עליו, משלם ארנונה , אגרות ביוב והיטלים ואף אוחז רישיון כבאות ואישור משטרה כדין.</w:t>
      </w:r>
    </w:p>
    <w:p w:rsidR="008267A5" w:rsidRDefault="008267A5">
      <w:pPr>
        <w:spacing w:before="120" w:after="120" w:line="360" w:lineRule="auto"/>
        <w:jc w:val="both"/>
        <w:rPr>
          <w:b/>
          <w:bCs/>
          <w:u w:val="single"/>
          <w:rtl/>
        </w:rPr>
      </w:pPr>
    </w:p>
    <w:p w:rsidR="008267A5" w:rsidRDefault="009C6EB6">
      <w:pPr>
        <w:spacing w:before="120" w:after="120" w:line="360" w:lineRule="auto"/>
        <w:jc w:val="both"/>
        <w:rPr>
          <w:b/>
          <w:bCs/>
          <w:u w:val="single"/>
          <w:rtl/>
        </w:rPr>
      </w:pPr>
      <w:r>
        <w:rPr>
          <w:rFonts w:hint="cs"/>
          <w:b/>
          <w:bCs/>
          <w:u w:val="single"/>
          <w:rtl/>
        </w:rPr>
        <w:t>דיון</w:t>
      </w:r>
    </w:p>
    <w:p w:rsidR="008267A5" w:rsidRDefault="009C6EB6">
      <w:pPr>
        <w:spacing w:before="120" w:after="120" w:line="360" w:lineRule="auto"/>
        <w:jc w:val="both"/>
        <w:rPr>
          <w:rtl/>
        </w:rPr>
      </w:pPr>
      <w:r>
        <w:rPr>
          <w:rFonts w:hint="cs"/>
          <w:rtl/>
        </w:rPr>
        <w:t xml:space="preserve">בית המשפט העליון, בהלכות רבות אשר יצאו תחת ידיו, עמד על הצורך באכיפה יעילה של חוקי תכנון ובניה, אשר הפכו לרעה חולה במחוזותינו ועל  הצורך להעניש ענישה מרתיעה בעבירות על חוקי התכנון והבניה ולמצות את הדין עם עברייני הבניה. זאת, בין היתר, בשל החומרה שיש לייחס </w:t>
      </w:r>
      <w:r>
        <w:rPr>
          <w:rFonts w:hint="cs"/>
          <w:rtl/>
        </w:rPr>
        <w:lastRenderedPageBreak/>
        <w:t xml:space="preserve">לעבירות אלו, הפגיעה שהן פוגעות בכלל הציבור ולעיתים במקרקעי הציבור, וכן בערכים של שלטון החוק והסדר הציבורי, ובשל טובת ההנאה הרבה שצומחת מהן למפרי החוק. </w:t>
      </w:r>
    </w:p>
    <w:p w:rsidR="008267A5" w:rsidRDefault="009C6EB6" w:rsidP="00AB3855">
      <w:pPr>
        <w:spacing w:before="120" w:after="120" w:line="360" w:lineRule="auto"/>
        <w:jc w:val="both"/>
        <w:rPr>
          <w:rtl/>
        </w:rPr>
      </w:pPr>
      <w:r>
        <w:rPr>
          <w:rFonts w:hint="cs"/>
          <w:rtl/>
        </w:rPr>
        <w:t>בתי המשפט נקראו להירתם למאבק בתופעה של שימוש פסול במקרקעין שיעודה חקלאית לשימושים מסחריים, שכן המוטיבציה לביצוע עבירות אלו הינה כלכלית ומשכך, הדרך להלחם בתופעה ליצור אפקט הרתעה הינה על-יי השתת קנסות כבדים שיאיינו את הרווח הטמון בביצוע העבירות.</w:t>
      </w:r>
      <w:r>
        <w:t xml:space="preserve">) </w:t>
      </w:r>
      <w:r>
        <w:rPr>
          <w:rFonts w:hint="cs"/>
          <w:rtl/>
        </w:rPr>
        <w:t>ראה: ב</w:t>
      </w:r>
      <w:hyperlink r:id="rId24" w:history="1">
        <w:r>
          <w:rPr>
            <w:rStyle w:val="Hyperlink"/>
            <w:rFonts w:hint="cs"/>
            <w:rtl/>
          </w:rPr>
          <w:t>רע"פ 2330/09</w:t>
        </w:r>
      </w:hyperlink>
      <w:r>
        <w:rPr>
          <w:rFonts w:hint="cs"/>
          <w:b/>
          <w:bCs/>
          <w:rtl/>
        </w:rPr>
        <w:t xml:space="preserve"> נוסטרדמוס מסעדות בע"מ נגד הועדה המקומית תכנון ובניה – חבל מודיעין</w:t>
      </w:r>
      <w:r w:rsidR="00AB3855">
        <w:rPr>
          <w:rFonts w:hint="cs"/>
          <w:rtl/>
        </w:rPr>
        <w:t xml:space="preserve"> </w:t>
      </w:r>
      <w:r w:rsidR="00AB3855" w:rsidRPr="00AB3855">
        <w:rPr>
          <w:sz w:val="22"/>
          <w:rtl/>
        </w:rPr>
        <w:t>[פורסם בנבו]</w:t>
      </w:r>
      <w:r>
        <w:rPr>
          <w:rFonts w:hint="cs"/>
          <w:rtl/>
        </w:rPr>
        <w:t xml:space="preserve">; </w:t>
      </w:r>
      <w:hyperlink r:id="rId25" w:history="1">
        <w:r>
          <w:rPr>
            <w:rStyle w:val="Hyperlink"/>
            <w:rFonts w:hint="cs"/>
            <w:rtl/>
          </w:rPr>
          <w:t>רע"פ 8701/08</w:t>
        </w:r>
      </w:hyperlink>
      <w:r>
        <w:rPr>
          <w:rFonts w:hint="cs"/>
          <w:b/>
          <w:bCs/>
          <w:rtl/>
        </w:rPr>
        <w:t>מלכה וונש נגד הועדה המקומית לתכנון ובניה לודים</w:t>
      </w:r>
      <w:r w:rsidR="00AB3855">
        <w:rPr>
          <w:rFonts w:hint="cs"/>
          <w:rtl/>
        </w:rPr>
        <w:t xml:space="preserve"> </w:t>
      </w:r>
      <w:r w:rsidR="00AB3855" w:rsidRPr="00AB3855">
        <w:rPr>
          <w:sz w:val="22"/>
          <w:rtl/>
        </w:rPr>
        <w:t>[פורסם בנבו]</w:t>
      </w:r>
      <w:r>
        <w:rPr>
          <w:rFonts w:hint="cs"/>
          <w:rtl/>
        </w:rPr>
        <w:t xml:space="preserve">; </w:t>
      </w:r>
      <w:hyperlink r:id="rId26" w:history="1">
        <w:r>
          <w:rPr>
            <w:rStyle w:val="Hyperlink"/>
            <w:rFonts w:hint="cs"/>
            <w:rtl/>
          </w:rPr>
          <w:t>רע"פ 5986/06</w:t>
        </w:r>
      </w:hyperlink>
      <w:r>
        <w:rPr>
          <w:rFonts w:hint="cs"/>
          <w:b/>
          <w:bCs/>
          <w:rtl/>
        </w:rPr>
        <w:t xml:space="preserve"> אהרן מלכיאל נגד מדינת ישראל</w:t>
      </w:r>
      <w:r w:rsidR="00AB3855">
        <w:rPr>
          <w:rFonts w:hint="cs"/>
          <w:rtl/>
        </w:rPr>
        <w:t xml:space="preserve"> </w:t>
      </w:r>
      <w:r w:rsidR="00AB3855" w:rsidRPr="00AB3855">
        <w:rPr>
          <w:sz w:val="22"/>
          <w:rtl/>
        </w:rPr>
        <w:t>[פורסם בנבו]</w:t>
      </w:r>
      <w:r>
        <w:rPr>
          <w:rFonts w:hint="cs"/>
          <w:rtl/>
        </w:rPr>
        <w:t xml:space="preserve">; </w:t>
      </w:r>
      <w:hyperlink r:id="rId27" w:history="1">
        <w:r>
          <w:rPr>
            <w:rStyle w:val="Hyperlink"/>
            <w:rFonts w:hint="cs"/>
            <w:rtl/>
          </w:rPr>
          <w:t>עפ"א 3023-04-08</w:t>
        </w:r>
      </w:hyperlink>
      <w:r>
        <w:rPr>
          <w:rFonts w:hint="cs"/>
          <w:b/>
          <w:bCs/>
          <w:rtl/>
        </w:rPr>
        <w:t xml:space="preserve"> יפה שמרוני נגד ועדה מקומית לתכנון לודים</w:t>
      </w:r>
      <w:r w:rsidR="00AB3855">
        <w:rPr>
          <w:rFonts w:hint="cs"/>
          <w:b/>
          <w:bCs/>
          <w:rtl/>
        </w:rPr>
        <w:t xml:space="preserve"> </w:t>
      </w:r>
      <w:r w:rsidR="00AB3855" w:rsidRPr="00AB3855">
        <w:rPr>
          <w:sz w:val="22"/>
          <w:rtl/>
        </w:rPr>
        <w:t>[פורסם בנבו]</w:t>
      </w:r>
      <w:r>
        <w:rPr>
          <w:rFonts w:hint="cs"/>
          <w:rtl/>
        </w:rPr>
        <w:t>).</w:t>
      </w:r>
    </w:p>
    <w:p w:rsidR="008267A5" w:rsidRDefault="008267A5">
      <w:pPr>
        <w:spacing w:before="120" w:after="120" w:line="360" w:lineRule="auto"/>
        <w:jc w:val="both"/>
        <w:rPr>
          <w:rtl/>
        </w:rPr>
      </w:pPr>
    </w:p>
    <w:p w:rsidR="008267A5" w:rsidRDefault="009C6EB6">
      <w:pPr>
        <w:spacing w:before="120" w:after="120" w:line="360" w:lineRule="auto"/>
        <w:jc w:val="both"/>
        <w:rPr>
          <w:rtl/>
        </w:rPr>
      </w:pPr>
      <w:r>
        <w:rPr>
          <w:rFonts w:hint="cs"/>
          <w:rtl/>
        </w:rPr>
        <w:t>בהתאם לתיקון 113 ל</w:t>
      </w:r>
      <w:hyperlink r:id="rId28" w:history="1">
        <w:r w:rsidRPr="009C6EB6">
          <w:rPr>
            <w:color w:val="0000FF"/>
            <w:u w:val="single"/>
            <w:rtl/>
          </w:rPr>
          <w:t>חוק העונשין</w:t>
        </w:r>
      </w:hyperlink>
      <w:r>
        <w:rPr>
          <w:rFonts w:hint="cs"/>
          <w:rtl/>
        </w:rPr>
        <w:t xml:space="preserve"> שעניינו הבניית שיקול הדעת בענישה, מקבל עקרון הגמול מעמד של ממש, בשיקולי הענישה ודרישת ההלימה שבין חומרת מעשה העבירה בנסיבותיו ומידת אשמו של הנאשם וסוג ומידת העונש שיוטל עליו.</w:t>
      </w:r>
    </w:p>
    <w:p w:rsidR="008267A5" w:rsidRDefault="009C6EB6">
      <w:pPr>
        <w:spacing w:before="120" w:after="120" w:line="360" w:lineRule="auto"/>
        <w:jc w:val="both"/>
        <w:rPr>
          <w:rtl/>
        </w:rPr>
      </w:pPr>
      <w:r>
        <w:rPr>
          <w:rFonts w:hint="cs"/>
          <w:rtl/>
        </w:rPr>
        <w:t>כאשר נדרש בית המשפט לבחון את מידת האשם במעשיו של הנאשם 2, הרי שמעבר לעצם העבירה כקבוע בחיקוק, יש לבחון את נסיבות המקרה, ועוצמת הפגיעה בערך החברתי המוגן.</w:t>
      </w:r>
    </w:p>
    <w:p w:rsidR="008267A5" w:rsidRDefault="008267A5">
      <w:pPr>
        <w:spacing w:before="120" w:after="120" w:line="360" w:lineRule="auto"/>
        <w:jc w:val="both"/>
        <w:rPr>
          <w:rtl/>
        </w:rPr>
      </w:pPr>
    </w:p>
    <w:p w:rsidR="008267A5" w:rsidRDefault="009C6EB6">
      <w:pPr>
        <w:spacing w:before="120" w:after="120" w:line="360" w:lineRule="auto"/>
        <w:jc w:val="both"/>
        <w:rPr>
          <w:rtl/>
        </w:rPr>
      </w:pPr>
      <w:r>
        <w:rPr>
          <w:rFonts w:hint="cs"/>
          <w:rtl/>
        </w:rPr>
        <w:t xml:space="preserve">במקרה שבפניי, עסקינן בהפעלת גן אירועים, ללא היתר לשימוש חורג וזאת לאורך  שנים רבות, ולמעשה עד עצם היום הזה. נתתי דעתי לטענות הנאשמים, כי אלו אחזו בידם היתר לשימוש חורג לתקופה של 5 שנים, אולם לא מצאתי הסבר המניח את הדעת להפעלת גן האירועים, מזה עשור לערך, ללא היתרים כדין, תוך שהנאשמים יודעים היטב, כי הינם פועלים בניגוד מוחלט להוראות החוק, תוך הפקת רווחים כלכלים וטובות הנאה אישית. </w:t>
      </w:r>
    </w:p>
    <w:p w:rsidR="008267A5" w:rsidRDefault="008267A5">
      <w:pPr>
        <w:rPr>
          <w:rtl/>
        </w:rPr>
      </w:pPr>
    </w:p>
    <w:p w:rsidR="008267A5" w:rsidRDefault="008267A5">
      <w:pPr>
        <w:bidi w:val="0"/>
        <w:rPr>
          <w:rtl/>
        </w:rPr>
      </w:pPr>
    </w:p>
    <w:p w:rsidR="008267A5" w:rsidRDefault="008267A5">
      <w:pPr>
        <w:spacing w:line="360" w:lineRule="auto"/>
        <w:rPr>
          <w:rtl/>
        </w:rPr>
      </w:pPr>
    </w:p>
    <w:p w:rsidR="008267A5" w:rsidRDefault="009C6EB6">
      <w:pPr>
        <w:rPr>
          <w:b/>
          <w:bCs/>
          <w:u w:val="single"/>
        </w:rPr>
      </w:pPr>
      <w:r>
        <w:rPr>
          <w:rFonts w:hint="cs"/>
          <w:b/>
          <w:bCs/>
          <w:u w:val="single"/>
          <w:rtl/>
        </w:rPr>
        <w:t>סוף דבר :</w:t>
      </w:r>
    </w:p>
    <w:p w:rsidR="008267A5" w:rsidRDefault="008267A5">
      <w:pPr>
        <w:rPr>
          <w:b/>
          <w:bCs/>
          <w:u w:val="single"/>
          <w:rtl/>
        </w:rPr>
      </w:pPr>
    </w:p>
    <w:p w:rsidR="008267A5" w:rsidRDefault="009C6EB6">
      <w:pPr>
        <w:spacing w:line="360" w:lineRule="auto"/>
        <w:rPr>
          <w:rtl/>
        </w:rPr>
      </w:pPr>
      <w:r>
        <w:rPr>
          <w:rFonts w:hint="cs"/>
          <w:rtl/>
        </w:rPr>
        <w:t xml:space="preserve">בשים לב לכל האמור לעיל, לאחר ששקלתי כל טיעוני הצדדים לחומרא ולקולא, ונתתי דעתי כאמור, הן לחומרת העבירות, משכן, היקפן, הפגיעה בערך החברתי, מתחם הענישה הנדרש בנסיבות העניין, נסיבותיהם האישיות, הכלכליות והבריאותיות של הנאשם 2,  הנני גוזרת עליהם העונשים כדלקמן : </w:t>
      </w:r>
    </w:p>
    <w:p w:rsidR="008267A5" w:rsidRDefault="009C6EB6">
      <w:pPr>
        <w:spacing w:before="120" w:after="120" w:line="360" w:lineRule="auto"/>
        <w:jc w:val="both"/>
        <w:rPr>
          <w:b/>
          <w:bCs/>
          <w:u w:val="single"/>
          <w:rtl/>
        </w:rPr>
      </w:pPr>
      <w:r>
        <w:rPr>
          <w:rFonts w:hint="cs"/>
          <w:b/>
          <w:bCs/>
          <w:u w:val="single"/>
          <w:rtl/>
        </w:rPr>
        <w:t xml:space="preserve">לגבי הנאשמת 1 </w:t>
      </w:r>
    </w:p>
    <w:p w:rsidR="008267A5" w:rsidRDefault="009C6EB6">
      <w:pPr>
        <w:spacing w:before="120" w:after="120" w:line="360" w:lineRule="auto"/>
        <w:ind w:left="1440" w:hanging="720"/>
        <w:jc w:val="both"/>
        <w:rPr>
          <w:rtl/>
        </w:rPr>
      </w:pPr>
      <w:r>
        <w:rPr>
          <w:rFonts w:hint="cs"/>
          <w:rtl/>
        </w:rPr>
        <w:t>א.</w:t>
      </w:r>
      <w:r>
        <w:rPr>
          <w:rFonts w:hint="cs"/>
          <w:rtl/>
        </w:rPr>
        <w:tab/>
        <w:t xml:space="preserve">קנס בסך  של 150,000 ₪. הקנס ישולם ב- 12 תשלומים חודשיים שווים ורצופים, החל מיום 19.01.14  ומדי 19 לחודש שלאחריו. </w:t>
      </w:r>
    </w:p>
    <w:p w:rsidR="008267A5" w:rsidRDefault="009C6EB6">
      <w:pPr>
        <w:spacing w:before="120" w:after="120" w:line="360" w:lineRule="auto"/>
        <w:ind w:left="1440" w:hanging="720"/>
        <w:jc w:val="both"/>
      </w:pPr>
      <w:r>
        <w:rPr>
          <w:rFonts w:hint="cs"/>
          <w:rtl/>
        </w:rPr>
        <w:lastRenderedPageBreak/>
        <w:t>ב.</w:t>
      </w:r>
      <w:r>
        <w:rPr>
          <w:rFonts w:hint="cs"/>
          <w:rtl/>
        </w:rPr>
        <w:tab/>
        <w:t>אני מחייבת את הנאשמת 1 לחתום על התחייבות להימנע מעבירה לפי הוראות פרק י' ל</w:t>
      </w:r>
      <w:hyperlink r:id="rId29" w:history="1">
        <w:r w:rsidRPr="009C6EB6">
          <w:rPr>
            <w:color w:val="0000FF"/>
            <w:u w:val="single"/>
            <w:rtl/>
          </w:rPr>
          <w:t>חוק התכנון והבניה</w:t>
        </w:r>
      </w:hyperlink>
      <w:r>
        <w:rPr>
          <w:rFonts w:hint="cs"/>
          <w:rtl/>
        </w:rPr>
        <w:t xml:space="preserve">, התשכ"ה – 1965. ההתחייבות בסך של 300,000 ₪ למשך שלוש שנים. ביחס למקרקעין נשוא כתב האישום תיכנס ההתחייבות לתוקפה החל יום 19.05.15, וביחס לכל מקרקעין אחרים – תיכנס ההתחייבות לתוקפה – החל מהיום. </w:t>
      </w:r>
    </w:p>
    <w:p w:rsidR="008267A5" w:rsidRDefault="009C6EB6">
      <w:pPr>
        <w:spacing w:before="120" w:after="120" w:line="360" w:lineRule="auto"/>
        <w:jc w:val="both"/>
        <w:rPr>
          <w:b/>
          <w:bCs/>
          <w:u w:val="single"/>
          <w:rtl/>
        </w:rPr>
      </w:pPr>
      <w:r>
        <w:rPr>
          <w:rFonts w:hint="cs"/>
          <w:b/>
          <w:bCs/>
          <w:u w:val="single"/>
          <w:rtl/>
        </w:rPr>
        <w:t xml:space="preserve">לגבי הנאשם 2 </w:t>
      </w:r>
    </w:p>
    <w:p w:rsidR="008267A5" w:rsidRDefault="009C6EB6">
      <w:pPr>
        <w:pStyle w:val="ListParagraph"/>
        <w:numPr>
          <w:ilvl w:val="0"/>
          <w:numId w:val="1"/>
        </w:numPr>
        <w:spacing w:before="120" w:after="120" w:line="360" w:lineRule="auto"/>
        <w:jc w:val="both"/>
      </w:pPr>
      <w:r>
        <w:rPr>
          <w:rFonts w:hint="cs"/>
          <w:rtl/>
        </w:rPr>
        <w:t>קנס בסך 65,000  ש"ח ₪ או 3 חודשי מאסר תמורתו.</w:t>
      </w:r>
    </w:p>
    <w:p w:rsidR="008267A5" w:rsidRDefault="009C6EB6">
      <w:pPr>
        <w:pStyle w:val="ListParagraph"/>
        <w:spacing w:before="120" w:after="120" w:line="360" w:lineRule="auto"/>
        <w:ind w:left="1145"/>
        <w:jc w:val="both"/>
      </w:pPr>
      <w:r>
        <w:rPr>
          <w:rFonts w:hint="cs"/>
          <w:rtl/>
        </w:rPr>
        <w:t xml:space="preserve">הקנס ישולם ב - 12  תשלומים חודשיים שווים ורצופים, החל מיום 19.01.14 ובכל 19 לכל חודש שלאחריו. </w:t>
      </w:r>
    </w:p>
    <w:p w:rsidR="008267A5" w:rsidRDefault="009C6EB6">
      <w:pPr>
        <w:pStyle w:val="ListParagraph"/>
        <w:numPr>
          <w:ilvl w:val="0"/>
          <w:numId w:val="1"/>
        </w:numPr>
        <w:spacing w:before="120" w:after="120" w:line="360" w:lineRule="auto"/>
        <w:jc w:val="both"/>
      </w:pPr>
      <w:r>
        <w:rPr>
          <w:rFonts w:hint="cs"/>
          <w:rtl/>
        </w:rPr>
        <w:t>אני מחייבת את הנאשם 2 לחתום על התחייבות להימנע מעבירה לפי הוראות פרק י' ל</w:t>
      </w:r>
      <w:hyperlink r:id="rId30" w:history="1">
        <w:r w:rsidRPr="009C6EB6">
          <w:rPr>
            <w:color w:val="0000FF"/>
            <w:u w:val="single"/>
            <w:rtl/>
          </w:rPr>
          <w:t>חוק התכנון והבניה</w:t>
        </w:r>
      </w:hyperlink>
      <w:r>
        <w:rPr>
          <w:rFonts w:hint="cs"/>
          <w:rtl/>
        </w:rPr>
        <w:t>, התשכ"ה – 1965. ההתחייבות תהא למשך שלוש שנים ובסכום של 130,000 ₪. ביחס למקרקעין נשוא כתב האישום תיכנס ההתחייבות לתוקפה החל יום 19.05.15, וביחס לכל מקרקעין אחרים – תיכנס ההתחייבות לתוקפה – החל מהיום. היה ולא תיחתם במזכירות בית המשפט בתוך 7 ימים, ייאסר הנאשם 3 למשך 10 ימים.</w:t>
      </w:r>
    </w:p>
    <w:p w:rsidR="008267A5" w:rsidRDefault="008267A5">
      <w:pPr>
        <w:pStyle w:val="ListParagraph"/>
        <w:spacing w:before="120" w:after="120" w:line="360" w:lineRule="auto"/>
        <w:ind w:left="1145"/>
        <w:jc w:val="both"/>
      </w:pPr>
    </w:p>
    <w:p w:rsidR="008267A5" w:rsidRDefault="009C6EB6">
      <w:pPr>
        <w:spacing w:before="120" w:after="120" w:line="360" w:lineRule="auto"/>
        <w:jc w:val="both"/>
        <w:rPr>
          <w:b/>
          <w:bCs/>
          <w:u w:val="single"/>
        </w:rPr>
      </w:pPr>
      <w:r>
        <w:rPr>
          <w:rFonts w:hint="cs"/>
          <w:b/>
          <w:bCs/>
          <w:u w:val="single"/>
          <w:rtl/>
        </w:rPr>
        <w:t>ביחס לנאשמים 1-2:</w:t>
      </w:r>
    </w:p>
    <w:p w:rsidR="00925670" w:rsidRDefault="00925670">
      <w:pPr>
        <w:spacing w:line="360" w:lineRule="auto"/>
        <w:jc w:val="both"/>
        <w:rPr>
          <w:rtl/>
        </w:rPr>
      </w:pPr>
      <w:bookmarkStart w:id="6" w:name="LawTable"/>
    </w:p>
    <w:p w:rsidR="00925670" w:rsidRPr="00925670" w:rsidRDefault="00925670">
      <w:pPr>
        <w:spacing w:line="360" w:lineRule="auto"/>
        <w:jc w:val="both"/>
        <w:rPr>
          <w:rtl/>
        </w:rPr>
      </w:pPr>
      <w:bookmarkStart w:id="7" w:name="LawTable_End"/>
      <w:bookmarkEnd w:id="7"/>
    </w:p>
    <w:p w:rsidR="00925670" w:rsidRPr="00925670" w:rsidRDefault="00925670">
      <w:pPr>
        <w:spacing w:line="360" w:lineRule="auto"/>
        <w:jc w:val="both"/>
        <w:rPr>
          <w:rtl/>
        </w:rPr>
      </w:pPr>
    </w:p>
    <w:bookmarkEnd w:id="6"/>
    <w:p w:rsidR="008267A5" w:rsidRDefault="009C6EB6">
      <w:pPr>
        <w:spacing w:line="360" w:lineRule="auto"/>
        <w:jc w:val="both"/>
        <w:rPr>
          <w:rtl/>
        </w:rPr>
      </w:pPr>
      <w:r>
        <w:rPr>
          <w:rFonts w:hint="cs"/>
          <w:rtl/>
        </w:rPr>
        <w:t>ניתן בזה צו הפסקת שימוש במקרקעין וצו האוסר על הנאשמים לבצע כל שימוש חורג במקרקעין. צו הפסקת השימוש ואיסור השימוש יכנסו לתוקף ביום 19.05.2015, אלא אם כן יהיו בידי הנאשמים כל ההיתרים כדין.  מובהר, כי התנאי לדחיית כניסתם לתוקף של הצווים הינו כי בידי הנאשמים מצויים כל האישורים הנדרשים לצורך הוצאת רישיון עסק, למעט אישור הועדה המקומית לתכנון ובניה.</w:t>
      </w:r>
    </w:p>
    <w:p w:rsidR="008267A5" w:rsidRDefault="009C6EB6">
      <w:pPr>
        <w:rPr>
          <w:rFonts w:cs="FrankRuehl"/>
          <w:sz w:val="28"/>
          <w:szCs w:val="28"/>
          <w:rtl/>
        </w:rPr>
      </w:pPr>
      <w:r w:rsidRPr="009C6EB6">
        <w:rPr>
          <w:rFonts w:ascii="Arial" w:hAnsi="Arial"/>
          <w:color w:val="FFFFFF"/>
          <w:sz w:val="2"/>
          <w:szCs w:val="2"/>
          <w:rtl/>
        </w:rPr>
        <w:t>54678313</w:t>
      </w:r>
      <w:r>
        <w:rPr>
          <w:rFonts w:ascii="Arial" w:hAnsi="Arial"/>
          <w:rtl/>
        </w:rPr>
        <w:t xml:space="preserve">ניתן היום,  ט"ז טבת תשע"ד, 19 דצמבר 2013, בהעדר הצדדים. </w:t>
      </w:r>
    </w:p>
    <w:p w:rsidR="008267A5" w:rsidRDefault="009C6EB6">
      <w:pPr>
        <w:jc w:val="center"/>
      </w:pPr>
      <w:r>
        <w:rPr>
          <w:rFonts w:hint="cs"/>
          <w:rtl/>
        </w:rPr>
        <w:t xml:space="preserve">   </w:t>
      </w:r>
      <w:r>
        <w:rPr>
          <w:rFonts w:hint="cs"/>
          <w:rtl/>
        </w:rPr>
        <w:tab/>
      </w:r>
      <w:r>
        <w:rPr>
          <w:rFonts w:hint="cs"/>
          <w:rtl/>
        </w:rPr>
        <w:tab/>
      </w:r>
      <w:r>
        <w:rPr>
          <w:rFonts w:hint="cs"/>
          <w:rtl/>
        </w:rPr>
        <w:tab/>
      </w:r>
      <w:r>
        <w:rPr>
          <w:rFonts w:hint="cs"/>
          <w:rtl/>
        </w:rPr>
        <w:tab/>
      </w:r>
      <w:r>
        <w:rPr>
          <w:rFonts w:hint="cs"/>
          <w:rtl/>
        </w:rPr>
        <w:tab/>
      </w:r>
    </w:p>
    <w:p w:rsidR="008267A5" w:rsidRDefault="008267A5">
      <w:pPr>
        <w:jc w:val="center"/>
        <w:rPr>
          <w:rFonts w:ascii="Arial" w:hAnsi="Arial" w:cs="FrankRuehl"/>
          <w:sz w:val="28"/>
          <w:szCs w:val="28"/>
          <w:rtl/>
        </w:rPr>
      </w:pPr>
    </w:p>
    <w:p w:rsidR="008267A5" w:rsidRDefault="008267A5">
      <w:pPr>
        <w:rPr>
          <w:rFonts w:cs="FrankRuehl"/>
          <w:sz w:val="28"/>
          <w:szCs w:val="28"/>
          <w:rtl/>
        </w:rPr>
      </w:pPr>
      <w:bookmarkStart w:id="8" w:name="_GoBack"/>
      <w:bookmarkEnd w:id="8"/>
    </w:p>
    <w:p w:rsidR="008267A5" w:rsidRDefault="008267A5">
      <w:pPr>
        <w:pStyle w:val="a3"/>
        <w:jc w:val="center"/>
        <w:rPr>
          <w:rtl/>
        </w:rPr>
      </w:pPr>
    </w:p>
    <w:p w:rsidR="009C6EB6" w:rsidRPr="009C6EB6" w:rsidRDefault="009C6EB6" w:rsidP="009C6EB6">
      <w:pPr>
        <w:keepNext/>
        <w:rPr>
          <w:rFonts w:ascii="David" w:hAnsi="David"/>
          <w:color w:val="000000"/>
          <w:sz w:val="22"/>
          <w:szCs w:val="22"/>
          <w:rtl/>
        </w:rPr>
      </w:pPr>
    </w:p>
    <w:p w:rsidR="009C6EB6" w:rsidRPr="009C6EB6" w:rsidRDefault="009C6EB6" w:rsidP="009C6EB6">
      <w:pPr>
        <w:keepNext/>
        <w:rPr>
          <w:rFonts w:ascii="David" w:hAnsi="David"/>
          <w:color w:val="000000"/>
          <w:sz w:val="22"/>
          <w:szCs w:val="22"/>
          <w:rtl/>
        </w:rPr>
      </w:pPr>
      <w:r w:rsidRPr="009C6EB6">
        <w:rPr>
          <w:rFonts w:ascii="David" w:hAnsi="David"/>
          <w:color w:val="000000"/>
          <w:sz w:val="22"/>
          <w:szCs w:val="22"/>
          <w:rtl/>
        </w:rPr>
        <w:t>שלהבת קמיר וייס 54678313</w:t>
      </w:r>
    </w:p>
    <w:p w:rsidR="009C6EB6" w:rsidRDefault="009C6EB6" w:rsidP="009C6EB6">
      <w:r w:rsidRPr="009C6EB6">
        <w:rPr>
          <w:color w:val="000000"/>
          <w:rtl/>
        </w:rPr>
        <w:t>נוסח מסמך זה כפוף לשינויי ניסוח ועריכה</w:t>
      </w:r>
    </w:p>
    <w:p w:rsidR="009C6EB6" w:rsidRDefault="009C6EB6" w:rsidP="009C6EB6">
      <w:pPr>
        <w:rPr>
          <w:rtl/>
        </w:rPr>
      </w:pPr>
    </w:p>
    <w:p w:rsidR="009C6EB6" w:rsidRDefault="009C6EB6" w:rsidP="009C6EB6">
      <w:pPr>
        <w:jc w:val="center"/>
        <w:rPr>
          <w:color w:val="0000FF"/>
          <w:u w:val="single"/>
        </w:rPr>
      </w:pPr>
      <w:hyperlink r:id="rId31" w:history="1">
        <w:r>
          <w:rPr>
            <w:color w:val="0000FF"/>
            <w:u w:val="single"/>
            <w:rtl/>
          </w:rPr>
          <w:t>בעניין עריכה ושינויים במסמכי פסיקה, חקיקה ועוד באתר נבו – הקש כאן</w:t>
        </w:r>
      </w:hyperlink>
    </w:p>
    <w:p w:rsidR="008267A5" w:rsidRPr="009C6EB6" w:rsidRDefault="008267A5" w:rsidP="009C6EB6">
      <w:pPr>
        <w:jc w:val="center"/>
        <w:rPr>
          <w:color w:val="0000FF"/>
          <w:u w:val="single"/>
        </w:rPr>
      </w:pPr>
    </w:p>
    <w:sectPr w:rsidR="008267A5" w:rsidRPr="009C6EB6" w:rsidSect="009C6EB6">
      <w:headerReference w:type="even" r:id="rId32"/>
      <w:headerReference w:type="default" r:id="rId33"/>
      <w:footerReference w:type="even" r:id="rId34"/>
      <w:footerReference w:type="default" r:id="rId35"/>
      <w:pgSz w:w="11907" w:h="16840" w:code="9"/>
      <w:pgMar w:top="1701" w:right="1701" w:bottom="2552" w:left="1701" w:header="187" w:footer="720" w:gutter="0"/>
      <w:pgNumType w:start="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207" w:rsidRPr="00AD2336" w:rsidRDefault="00723207">
      <w:pPr>
        <w:rPr>
          <w:rFonts w:cs="Arial"/>
          <w:szCs w:val="20"/>
        </w:rPr>
      </w:pPr>
      <w:r>
        <w:separator/>
      </w:r>
    </w:p>
  </w:endnote>
  <w:endnote w:type="continuationSeparator" w:id="1">
    <w:p w:rsidR="00723207" w:rsidRPr="00AD2336" w:rsidRDefault="00723207">
      <w:pPr>
        <w:rPr>
          <w:rFonts w:cs="Arial"/>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B6" w:rsidRDefault="009C6EB6" w:rsidP="009C6EB6">
    <w:pPr>
      <w:pStyle w:val="a5"/>
      <w:jc w:val="center"/>
      <w:rPr>
        <w:rFonts w:ascii="FrankRuehl" w:hAnsi="FrankRuehl" w:cs="FrankRuehl"/>
      </w:rPr>
    </w:pPr>
    <w:r>
      <w:rPr>
        <w:rFonts w:ascii="FrankRuehl" w:hAnsi="FrankRuehl" w:cs="FrankRuehl"/>
        <w:rtl/>
      </w:rPr>
      <w:fldChar w:fldCharType="begin"/>
    </w:r>
    <w:r>
      <w:rPr>
        <w:rFonts w:ascii="FrankRuehl" w:hAnsi="FrankRuehl" w:cs="FrankRuehl"/>
        <w:rtl/>
      </w:rPr>
      <w:instrText xml:space="preserve"> </w:instrText>
    </w:r>
    <w:r>
      <w:rPr>
        <w:rFonts w:ascii="FrankRuehl" w:hAnsi="FrankRuehl" w:cs="FrankRuehl"/>
      </w:rPr>
      <w:instrText>PAGE</w:instrText>
    </w:r>
    <w:r>
      <w:rPr>
        <w:rFonts w:ascii="FrankRuehl" w:hAnsi="FrankRuehl" w:cs="FrankRuehl"/>
        <w:rtl/>
      </w:rPr>
      <w:instrText xml:space="preserve">  \* </w:instrText>
    </w:r>
    <w:r>
      <w:rPr>
        <w:rFonts w:ascii="FrankRuehl" w:hAnsi="FrankRuehl" w:cs="FrankRuehl"/>
      </w:rPr>
      <w:instrText>MERGEFORMAT</w:instrText>
    </w:r>
    <w:r>
      <w:rPr>
        <w:rFonts w:ascii="FrankRuehl" w:hAnsi="FrankRuehl" w:cs="FrankRuehl"/>
        <w:rtl/>
      </w:rPr>
      <w:instrText xml:space="preserve"> </w:instrText>
    </w:r>
    <w:r>
      <w:rPr>
        <w:rFonts w:ascii="FrankRuehl" w:hAnsi="FrankRuehl" w:cs="FrankRuehl"/>
        <w:rtl/>
      </w:rPr>
      <w:fldChar w:fldCharType="separate"/>
    </w:r>
    <w:r>
      <w:rPr>
        <w:rFonts w:ascii="FrankRuehl" w:hAnsi="FrankRuehl" w:cs="FrankRuehl"/>
        <w:noProof/>
        <w:rtl/>
      </w:rPr>
      <w:t>6</w:t>
    </w:r>
    <w:r>
      <w:rPr>
        <w:rFonts w:ascii="FrankRuehl" w:hAnsi="FrankRuehl" w:cs="FrankRuehl"/>
        <w:rtl/>
      </w:rPr>
      <w:fldChar w:fldCharType="end"/>
    </w:r>
  </w:p>
  <w:p w:rsidR="008267A5" w:rsidRPr="009C6EB6" w:rsidRDefault="00193D82" w:rsidP="009C6EB6">
    <w:pPr>
      <w:pStyle w:val="a5"/>
      <w:pBdr>
        <w:top w:val="single" w:sz="4" w:space="1" w:color="auto"/>
        <w:between w:val="single" w:sz="4" w:space="0" w:color="auto"/>
      </w:pBdr>
      <w:spacing w:after="60"/>
      <w:jc w:val="center"/>
      <w:rPr>
        <w:rFonts w:ascii="FrankRuehl" w:hAnsi="FrankRuehl" w:cs="FrankRuehl"/>
        <w:color w:val="000000"/>
      </w:rPr>
    </w:pPr>
    <w:r>
      <w:rPr>
        <w:rFonts w:ascii="FrankRuehl" w:hAnsi="FrankRuehl" w:cs="FrankRuehl"/>
        <w:noProof/>
        <w:color w:val="000000"/>
      </w:rPr>
      <w:drawing>
        <wp:inline distT="0" distB="0" distL="0" distR="0">
          <wp:extent cx="552450" cy="228600"/>
          <wp:effectExtent l="19050" t="0" r="0" b="0"/>
          <wp:docPr id="1" name="תמונה 1"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B6" w:rsidRDefault="009C6EB6" w:rsidP="009C6EB6">
    <w:pPr>
      <w:pStyle w:val="a5"/>
      <w:jc w:val="center"/>
      <w:rPr>
        <w:rFonts w:ascii="FrankRuehl" w:hAnsi="FrankRuehl" w:cs="FrankRuehl"/>
      </w:rPr>
    </w:pPr>
    <w:r>
      <w:rPr>
        <w:rFonts w:ascii="FrankRuehl" w:hAnsi="FrankRuehl" w:cs="FrankRuehl"/>
        <w:rtl/>
      </w:rPr>
      <w:fldChar w:fldCharType="begin"/>
    </w:r>
    <w:r>
      <w:rPr>
        <w:rFonts w:ascii="FrankRuehl" w:hAnsi="FrankRuehl" w:cs="FrankRuehl"/>
        <w:rtl/>
      </w:rPr>
      <w:instrText xml:space="preserve"> </w:instrText>
    </w:r>
    <w:r>
      <w:rPr>
        <w:rFonts w:ascii="FrankRuehl" w:hAnsi="FrankRuehl" w:cs="FrankRuehl"/>
      </w:rPr>
      <w:instrText>PAGE</w:instrText>
    </w:r>
    <w:r>
      <w:rPr>
        <w:rFonts w:ascii="FrankRuehl" w:hAnsi="FrankRuehl" w:cs="FrankRuehl"/>
        <w:rtl/>
      </w:rPr>
      <w:instrText xml:space="preserve">  \* </w:instrText>
    </w:r>
    <w:r>
      <w:rPr>
        <w:rFonts w:ascii="FrankRuehl" w:hAnsi="FrankRuehl" w:cs="FrankRuehl"/>
      </w:rPr>
      <w:instrText>MERGEFORMAT</w:instrText>
    </w:r>
    <w:r>
      <w:rPr>
        <w:rFonts w:ascii="FrankRuehl" w:hAnsi="FrankRuehl" w:cs="FrankRuehl"/>
        <w:rtl/>
      </w:rPr>
      <w:instrText xml:space="preserve"> </w:instrText>
    </w:r>
    <w:r>
      <w:rPr>
        <w:rFonts w:ascii="FrankRuehl" w:hAnsi="FrankRuehl" w:cs="FrankRuehl"/>
        <w:rtl/>
      </w:rPr>
      <w:fldChar w:fldCharType="separate"/>
    </w:r>
    <w:r w:rsidR="00193D82">
      <w:rPr>
        <w:rFonts w:ascii="FrankRuehl" w:hAnsi="FrankRuehl" w:cs="FrankRuehl"/>
        <w:noProof/>
        <w:rtl/>
      </w:rPr>
      <w:t>6</w:t>
    </w:r>
    <w:r>
      <w:rPr>
        <w:rFonts w:ascii="FrankRuehl" w:hAnsi="FrankRuehl" w:cs="FrankRuehl"/>
        <w:rtl/>
      </w:rPr>
      <w:fldChar w:fldCharType="end"/>
    </w:r>
  </w:p>
  <w:p w:rsidR="008267A5" w:rsidRPr="009C6EB6" w:rsidRDefault="00193D82" w:rsidP="009C6EB6">
    <w:pPr>
      <w:pStyle w:val="a5"/>
      <w:pBdr>
        <w:top w:val="single" w:sz="4" w:space="1" w:color="auto"/>
        <w:between w:val="single" w:sz="4" w:space="0" w:color="auto"/>
      </w:pBdr>
      <w:spacing w:after="60"/>
      <w:jc w:val="center"/>
      <w:rPr>
        <w:rFonts w:ascii="FrankRuehl" w:hAnsi="FrankRuehl" w:cs="FrankRuehl"/>
        <w:color w:val="000000"/>
      </w:rPr>
    </w:pPr>
    <w:r>
      <w:rPr>
        <w:rFonts w:ascii="FrankRuehl" w:hAnsi="FrankRuehl" w:cs="FrankRuehl"/>
        <w:noProof/>
        <w:color w:val="000000"/>
      </w:rPr>
      <w:drawing>
        <wp:inline distT="0" distB="0" distL="0" distR="0">
          <wp:extent cx="552450" cy="228600"/>
          <wp:effectExtent l="19050" t="0" r="0" b="0"/>
          <wp:docPr id="2" name="תמונה 2"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207" w:rsidRPr="00AD2336" w:rsidRDefault="00723207">
      <w:pPr>
        <w:rPr>
          <w:rFonts w:cs="Arial"/>
          <w:szCs w:val="20"/>
        </w:rPr>
      </w:pPr>
      <w:r>
        <w:separator/>
      </w:r>
    </w:p>
  </w:footnote>
  <w:footnote w:type="continuationSeparator" w:id="1">
    <w:p w:rsidR="00723207" w:rsidRPr="00AD2336" w:rsidRDefault="00723207">
      <w:pPr>
        <w:rPr>
          <w:rFonts w:cs="Arial"/>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B6" w:rsidRPr="009C6EB6" w:rsidRDefault="009C6EB6" w:rsidP="009C6EB6">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תפ (פ"ת) 10658-02-12</w:t>
    </w:r>
    <w:r>
      <w:rPr>
        <w:rFonts w:ascii="David" w:hAnsi="David"/>
        <w:color w:val="000000"/>
        <w:sz w:val="22"/>
        <w:szCs w:val="22"/>
        <w:rtl/>
      </w:rPr>
      <w:tab/>
      <w:t xml:space="preserve"> מדינת ישראל נ' טרופיגן אירועים בטבע בע"מ</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B6" w:rsidRPr="009C6EB6" w:rsidRDefault="009C6EB6" w:rsidP="009C6EB6">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תפ (פ"ת) 10658-02-12</w:t>
    </w:r>
    <w:r>
      <w:rPr>
        <w:rFonts w:ascii="David" w:hAnsi="David"/>
        <w:color w:val="000000"/>
        <w:sz w:val="22"/>
        <w:szCs w:val="22"/>
        <w:rtl/>
      </w:rPr>
      <w:tab/>
      <w:t xml:space="preserve"> מדינת ישראל נ' טרופיגן אירועים בטבע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C145C"/>
    <w:multiLevelType w:val="hybridMultilevel"/>
    <w:tmpl w:val="6980CEC6"/>
    <w:lvl w:ilvl="0" w:tplc="04090013">
      <w:start w:val="1"/>
      <w:numFmt w:val="hebrew1"/>
      <w:lvlText w:val="%1."/>
      <w:lvlJc w:val="center"/>
      <w:pPr>
        <w:ind w:left="1145" w:hanging="360"/>
      </w:pPr>
      <w:rPr>
        <w:rFonts w:cs="Times New Roman"/>
        <w:szCs w:val="24"/>
      </w:rPr>
    </w:lvl>
    <w:lvl w:ilvl="1" w:tplc="04090019">
      <w:start w:val="1"/>
      <w:numFmt w:val="lowerLetter"/>
      <w:lvlText w:val="%2."/>
      <w:lvlJc w:val="left"/>
      <w:pPr>
        <w:ind w:left="1865" w:hanging="360"/>
      </w:pPr>
      <w:rPr>
        <w:rFonts w:cs="Times New Roman"/>
      </w:rPr>
    </w:lvl>
    <w:lvl w:ilvl="2" w:tplc="0409001B">
      <w:start w:val="1"/>
      <w:numFmt w:val="lowerRoman"/>
      <w:lvlText w:val="%3."/>
      <w:lvlJc w:val="right"/>
      <w:pPr>
        <w:ind w:left="2585" w:hanging="180"/>
      </w:pPr>
      <w:rPr>
        <w:rFonts w:cs="Times New Roman"/>
      </w:rPr>
    </w:lvl>
    <w:lvl w:ilvl="3" w:tplc="0409000F">
      <w:start w:val="1"/>
      <w:numFmt w:val="decimal"/>
      <w:lvlText w:val="%4."/>
      <w:lvlJc w:val="left"/>
      <w:pPr>
        <w:ind w:left="3305" w:hanging="360"/>
      </w:pPr>
      <w:rPr>
        <w:rFonts w:cs="Times New Roman"/>
      </w:rPr>
    </w:lvl>
    <w:lvl w:ilvl="4" w:tplc="04090019">
      <w:start w:val="1"/>
      <w:numFmt w:val="lowerLetter"/>
      <w:lvlText w:val="%5."/>
      <w:lvlJc w:val="left"/>
      <w:pPr>
        <w:ind w:left="4025" w:hanging="360"/>
      </w:pPr>
      <w:rPr>
        <w:rFonts w:cs="Times New Roman"/>
      </w:rPr>
    </w:lvl>
    <w:lvl w:ilvl="5" w:tplc="0409001B">
      <w:start w:val="1"/>
      <w:numFmt w:val="lowerRoman"/>
      <w:lvlText w:val="%6."/>
      <w:lvlJc w:val="right"/>
      <w:pPr>
        <w:ind w:left="4745" w:hanging="180"/>
      </w:pPr>
      <w:rPr>
        <w:rFonts w:cs="Times New Roman"/>
      </w:rPr>
    </w:lvl>
    <w:lvl w:ilvl="6" w:tplc="0409000F">
      <w:start w:val="1"/>
      <w:numFmt w:val="decimal"/>
      <w:lvlText w:val="%7."/>
      <w:lvlJc w:val="left"/>
      <w:pPr>
        <w:ind w:left="5465" w:hanging="360"/>
      </w:pPr>
      <w:rPr>
        <w:rFonts w:cs="Times New Roman"/>
      </w:rPr>
    </w:lvl>
    <w:lvl w:ilvl="7" w:tplc="04090019">
      <w:start w:val="1"/>
      <w:numFmt w:val="lowerLetter"/>
      <w:lvlText w:val="%8."/>
      <w:lvlJc w:val="left"/>
      <w:pPr>
        <w:ind w:left="6185" w:hanging="360"/>
      </w:pPr>
      <w:rPr>
        <w:rFonts w:cs="Times New Roman"/>
      </w:rPr>
    </w:lvl>
    <w:lvl w:ilvl="8" w:tplc="0409001B">
      <w:start w:val="1"/>
      <w:numFmt w:val="lowerRoman"/>
      <w:lvlText w:val="%9."/>
      <w:lvlJc w:val="right"/>
      <w:pPr>
        <w:ind w:left="690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MyInfo" w:val="This document was extracted from Nevo's site"/>
  </w:docVars>
  <w:rsids>
    <w:rsidRoot w:val="008267A5"/>
    <w:rsid w:val="0006280F"/>
    <w:rsid w:val="00064330"/>
    <w:rsid w:val="000664EA"/>
    <w:rsid w:val="00193D82"/>
    <w:rsid w:val="004678E0"/>
    <w:rsid w:val="00723207"/>
    <w:rsid w:val="008267A5"/>
    <w:rsid w:val="00925670"/>
    <w:rsid w:val="009C6EB6"/>
    <w:rsid w:val="00AB3855"/>
    <w:rsid w:val="00FD276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7A5"/>
    <w:pPr>
      <w:bidi/>
    </w:pPr>
    <w:rPr>
      <w:rFonts w:cs="David"/>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267A5"/>
    <w:pPr>
      <w:tabs>
        <w:tab w:val="center" w:pos="4153"/>
        <w:tab w:val="right" w:pos="8306"/>
      </w:tabs>
    </w:pPr>
  </w:style>
  <w:style w:type="paragraph" w:styleId="a5">
    <w:name w:val="footer"/>
    <w:basedOn w:val="a"/>
    <w:rsid w:val="008267A5"/>
    <w:pPr>
      <w:tabs>
        <w:tab w:val="center" w:pos="4153"/>
        <w:tab w:val="right" w:pos="8306"/>
      </w:tabs>
    </w:pPr>
  </w:style>
  <w:style w:type="character" w:styleId="a6">
    <w:name w:val="page number"/>
    <w:basedOn w:val="a0"/>
    <w:rsid w:val="008267A5"/>
  </w:style>
  <w:style w:type="character" w:customStyle="1" w:styleId="a4">
    <w:name w:val="כותרת עליונה תו"/>
    <w:basedOn w:val="a0"/>
    <w:link w:val="a3"/>
    <w:rsid w:val="008267A5"/>
    <w:rPr>
      <w:rFonts w:cs="David"/>
      <w:sz w:val="24"/>
      <w:szCs w:val="24"/>
      <w:lang w:val="en-US" w:eastAsia="en-US" w:bidi="he-IL"/>
    </w:rPr>
  </w:style>
  <w:style w:type="character" w:styleId="Hyperlink">
    <w:name w:val="Hyperlink"/>
    <w:basedOn w:val="a0"/>
    <w:rsid w:val="008267A5"/>
    <w:rPr>
      <w:color w:val="0000FF"/>
      <w:u w:val="single"/>
    </w:rPr>
  </w:style>
  <w:style w:type="paragraph" w:customStyle="1" w:styleId="ListParagraph">
    <w:name w:val="List Paragraph"/>
    <w:basedOn w:val="a"/>
    <w:rsid w:val="008267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91073/%201T5" TargetMode="External"/><Relationship Id="rId13" Type="http://schemas.openxmlformats.org/officeDocument/2006/relationships/hyperlink" Target="http://www.nevo.co.il/law/91073/253" TargetMode="External"/><Relationship Id="rId18" Type="http://schemas.openxmlformats.org/officeDocument/2006/relationships/hyperlink" Target="http://www.nevo.co.il/law/91073/208" TargetMode="External"/><Relationship Id="rId26" Type="http://schemas.openxmlformats.org/officeDocument/2006/relationships/hyperlink" Target="http://www.nevo.co.il/links/psika/?link=&#1512;&#1506;&#1508;%205986/06" TargetMode="External"/><Relationship Id="rId3" Type="http://schemas.openxmlformats.org/officeDocument/2006/relationships/settings" Target="settings.xml"/><Relationship Id="rId21" Type="http://schemas.openxmlformats.org/officeDocument/2006/relationships/hyperlink" Target="http://www.nevo.co.il/law/91073/%201T5" TargetMode="External"/><Relationship Id="rId34" Type="http://schemas.openxmlformats.org/officeDocument/2006/relationships/footer" Target="footer1.xml"/><Relationship Id="rId7" Type="http://schemas.openxmlformats.org/officeDocument/2006/relationships/hyperlink" Target="http://www.nevo.co.il/law/91073" TargetMode="External"/><Relationship Id="rId12" Type="http://schemas.openxmlformats.org/officeDocument/2006/relationships/hyperlink" Target="http://www.nevo.co.il/law/91073/208" TargetMode="External"/><Relationship Id="rId17" Type="http://schemas.openxmlformats.org/officeDocument/2006/relationships/hyperlink" Target="http://www.nevo.co.il/law/91073/204.a.c" TargetMode="External"/><Relationship Id="rId25" Type="http://schemas.openxmlformats.org/officeDocument/2006/relationships/hyperlink" Target="http://www.nevo.co.il/links/psika/?link=&#1512;&#1506;&#1508;%208701/08"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nevo.co.il/law/91073/156a" TargetMode="External"/><Relationship Id="rId20" Type="http://schemas.openxmlformats.org/officeDocument/2006/relationships/hyperlink" Target="http://www.nevo.co.il/law/91073/253" TargetMode="External"/><Relationship Id="rId29" Type="http://schemas.openxmlformats.org/officeDocument/2006/relationships/hyperlink" Target="http://www.nevo.co.il/law/910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law/91073/204.a.c" TargetMode="External"/><Relationship Id="rId24" Type="http://schemas.openxmlformats.org/officeDocument/2006/relationships/hyperlink" Target="http://www.nevo.co.il/links/psika/?link=&#1512;&#1506;&#1508;%202330/09"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evo.co.il/law/91073/145" TargetMode="External"/><Relationship Id="rId23" Type="http://schemas.openxmlformats.org/officeDocument/2006/relationships/hyperlink" Target="http://www.nevo.co.il/links/psika/?link=&#1514;&#1508;%201835/96" TargetMode="External"/><Relationship Id="rId28" Type="http://schemas.openxmlformats.org/officeDocument/2006/relationships/hyperlink" Target="http://www.nevo.co.il/law/70301" TargetMode="External"/><Relationship Id="rId36" Type="http://schemas.openxmlformats.org/officeDocument/2006/relationships/fontTable" Target="fontTable.xml"/><Relationship Id="rId10" Type="http://schemas.openxmlformats.org/officeDocument/2006/relationships/hyperlink" Target="http://www.nevo.co.il/law/91073/156a" TargetMode="External"/><Relationship Id="rId19" Type="http://schemas.openxmlformats.org/officeDocument/2006/relationships/hyperlink" Target="http://www.nevo.co.il/law/91073" TargetMode="External"/><Relationship Id="rId31" Type="http://schemas.openxmlformats.org/officeDocument/2006/relationships/hyperlink" Target="http://www.nevo.co.il/advertisements/nevo-100.doc" TargetMode="External"/><Relationship Id="rId4" Type="http://schemas.openxmlformats.org/officeDocument/2006/relationships/webSettings" Target="webSettings.xml"/><Relationship Id="rId9" Type="http://schemas.openxmlformats.org/officeDocument/2006/relationships/hyperlink" Target="http://www.nevo.co.il/law/91073/145" TargetMode="External"/><Relationship Id="rId14" Type="http://schemas.openxmlformats.org/officeDocument/2006/relationships/hyperlink" Target="http://www.nevo.co.il/law/70301" TargetMode="External"/><Relationship Id="rId22" Type="http://schemas.openxmlformats.org/officeDocument/2006/relationships/hyperlink" Target="http://www.nevo.co.il/law/91073" TargetMode="External"/><Relationship Id="rId27" Type="http://schemas.openxmlformats.org/officeDocument/2006/relationships/hyperlink" Target="http://www.nevo.co.il/links/psika/?NEWPROC=&#1506;&#1508;&#1488;&amp;NEWPARTA=3023&amp;NEWPARTB=04&amp;NEWPARTC=08" TargetMode="External"/><Relationship Id="rId30" Type="http://schemas.openxmlformats.org/officeDocument/2006/relationships/hyperlink" Target="http://www.nevo.co.il/law/91073"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nevo.co.il</vt:lpstr>
    </vt:vector>
  </TitlesOfParts>
  <Company> </Company>
  <LinksUpToDate>false</LinksUpToDate>
  <CharactersWithSpaces>11830</CharactersWithSpaces>
  <SharedDoc>false</SharedDoc>
  <HLinks>
    <vt:vector size="150" baseType="variant">
      <vt:variant>
        <vt:i4>393283</vt:i4>
      </vt:variant>
      <vt:variant>
        <vt:i4>72</vt:i4>
      </vt:variant>
      <vt:variant>
        <vt:i4>0</vt:i4>
      </vt:variant>
      <vt:variant>
        <vt:i4>5</vt:i4>
      </vt:variant>
      <vt:variant>
        <vt:lpwstr>http://www.nevo.co.il/advertisements/nevo-100.doc</vt:lpwstr>
      </vt:variant>
      <vt:variant>
        <vt:lpwstr/>
      </vt:variant>
      <vt:variant>
        <vt:i4>8126569</vt:i4>
      </vt:variant>
      <vt:variant>
        <vt:i4>69</vt:i4>
      </vt:variant>
      <vt:variant>
        <vt:i4>0</vt:i4>
      </vt:variant>
      <vt:variant>
        <vt:i4>5</vt:i4>
      </vt:variant>
      <vt:variant>
        <vt:lpwstr>http://www.nevo.co.il/law/91073</vt:lpwstr>
      </vt:variant>
      <vt:variant>
        <vt:lpwstr/>
      </vt:variant>
      <vt:variant>
        <vt:i4>8126569</vt:i4>
      </vt:variant>
      <vt:variant>
        <vt:i4>66</vt:i4>
      </vt:variant>
      <vt:variant>
        <vt:i4>0</vt:i4>
      </vt:variant>
      <vt:variant>
        <vt:i4>5</vt:i4>
      </vt:variant>
      <vt:variant>
        <vt:lpwstr>http://www.nevo.co.il/law/91073</vt:lpwstr>
      </vt:variant>
      <vt:variant>
        <vt:lpwstr/>
      </vt:variant>
      <vt:variant>
        <vt:i4>7995492</vt:i4>
      </vt:variant>
      <vt:variant>
        <vt:i4>63</vt:i4>
      </vt:variant>
      <vt:variant>
        <vt:i4>0</vt:i4>
      </vt:variant>
      <vt:variant>
        <vt:i4>5</vt:i4>
      </vt:variant>
      <vt:variant>
        <vt:lpwstr>http://www.nevo.co.il/law/70301</vt:lpwstr>
      </vt:variant>
      <vt:variant>
        <vt:lpwstr/>
      </vt:variant>
      <vt:variant>
        <vt:i4>2753998</vt:i4>
      </vt:variant>
      <vt:variant>
        <vt:i4>60</vt:i4>
      </vt:variant>
      <vt:variant>
        <vt:i4>0</vt:i4>
      </vt:variant>
      <vt:variant>
        <vt:i4>5</vt:i4>
      </vt:variant>
      <vt:variant>
        <vt:lpwstr>http://www.nevo.co.il/links/psika/?NEWPROC=עפא&amp;NEWPARTA=3023&amp;NEWPARTB=04&amp;NEWPARTC=08</vt:lpwstr>
      </vt:variant>
      <vt:variant>
        <vt:lpwstr/>
      </vt:variant>
      <vt:variant>
        <vt:i4>98107475</vt:i4>
      </vt:variant>
      <vt:variant>
        <vt:i4>57</vt:i4>
      </vt:variant>
      <vt:variant>
        <vt:i4>0</vt:i4>
      </vt:variant>
      <vt:variant>
        <vt:i4>5</vt:i4>
      </vt:variant>
      <vt:variant>
        <vt:lpwstr>http://www.nevo.co.il/links/psika/?link=רעפ%205986/06</vt:lpwstr>
      </vt:variant>
      <vt:variant>
        <vt:lpwstr/>
      </vt:variant>
      <vt:variant>
        <vt:i4>97517654</vt:i4>
      </vt:variant>
      <vt:variant>
        <vt:i4>54</vt:i4>
      </vt:variant>
      <vt:variant>
        <vt:i4>0</vt:i4>
      </vt:variant>
      <vt:variant>
        <vt:i4>5</vt:i4>
      </vt:variant>
      <vt:variant>
        <vt:lpwstr>http://www.nevo.co.il/links/psika/?link=רעפ%208701/08</vt:lpwstr>
      </vt:variant>
      <vt:variant>
        <vt:lpwstr/>
      </vt:variant>
      <vt:variant>
        <vt:i4>97845343</vt:i4>
      </vt:variant>
      <vt:variant>
        <vt:i4>51</vt:i4>
      </vt:variant>
      <vt:variant>
        <vt:i4>0</vt:i4>
      </vt:variant>
      <vt:variant>
        <vt:i4>5</vt:i4>
      </vt:variant>
      <vt:variant>
        <vt:lpwstr>http://www.nevo.co.il/links/psika/?link=רעפ%202330/09</vt:lpwstr>
      </vt:variant>
      <vt:variant>
        <vt:lpwstr/>
      </vt:variant>
      <vt:variant>
        <vt:i4>99485105</vt:i4>
      </vt:variant>
      <vt:variant>
        <vt:i4>48</vt:i4>
      </vt:variant>
      <vt:variant>
        <vt:i4>0</vt:i4>
      </vt:variant>
      <vt:variant>
        <vt:i4>5</vt:i4>
      </vt:variant>
      <vt:variant>
        <vt:lpwstr>http://www.nevo.co.il/links/psika/?link=תפ 1835/96</vt:lpwstr>
      </vt:variant>
      <vt:variant>
        <vt:lpwstr/>
      </vt:variant>
      <vt:variant>
        <vt:i4>8126569</vt:i4>
      </vt:variant>
      <vt:variant>
        <vt:i4>45</vt:i4>
      </vt:variant>
      <vt:variant>
        <vt:i4>0</vt:i4>
      </vt:variant>
      <vt:variant>
        <vt:i4>5</vt:i4>
      </vt:variant>
      <vt:variant>
        <vt:lpwstr>http://www.nevo.co.il/law/91073</vt:lpwstr>
      </vt:variant>
      <vt:variant>
        <vt:lpwstr/>
      </vt:variant>
      <vt:variant>
        <vt:i4>5701646</vt:i4>
      </vt:variant>
      <vt:variant>
        <vt:i4>42</vt:i4>
      </vt:variant>
      <vt:variant>
        <vt:i4>0</vt:i4>
      </vt:variant>
      <vt:variant>
        <vt:i4>5</vt:i4>
      </vt:variant>
      <vt:variant>
        <vt:lpwstr>http://www.nevo.co.il/law/91073/ 1T5</vt:lpwstr>
      </vt:variant>
      <vt:variant>
        <vt:lpwstr/>
      </vt:variant>
      <vt:variant>
        <vt:i4>6684776</vt:i4>
      </vt:variant>
      <vt:variant>
        <vt:i4>39</vt:i4>
      </vt:variant>
      <vt:variant>
        <vt:i4>0</vt:i4>
      </vt:variant>
      <vt:variant>
        <vt:i4>5</vt:i4>
      </vt:variant>
      <vt:variant>
        <vt:lpwstr>http://www.nevo.co.il/law/91073/253</vt:lpwstr>
      </vt:variant>
      <vt:variant>
        <vt:lpwstr/>
      </vt:variant>
      <vt:variant>
        <vt:i4>8126569</vt:i4>
      </vt:variant>
      <vt:variant>
        <vt:i4>36</vt:i4>
      </vt:variant>
      <vt:variant>
        <vt:i4>0</vt:i4>
      </vt:variant>
      <vt:variant>
        <vt:i4>5</vt:i4>
      </vt:variant>
      <vt:variant>
        <vt:lpwstr>http://www.nevo.co.il/law/91073</vt:lpwstr>
      </vt:variant>
      <vt:variant>
        <vt:lpwstr/>
      </vt:variant>
      <vt:variant>
        <vt:i4>6488168</vt:i4>
      </vt:variant>
      <vt:variant>
        <vt:i4>33</vt:i4>
      </vt:variant>
      <vt:variant>
        <vt:i4>0</vt:i4>
      </vt:variant>
      <vt:variant>
        <vt:i4>5</vt:i4>
      </vt:variant>
      <vt:variant>
        <vt:lpwstr>http://www.nevo.co.il/law/91073/208</vt:lpwstr>
      </vt:variant>
      <vt:variant>
        <vt:lpwstr/>
      </vt:variant>
      <vt:variant>
        <vt:i4>6488125</vt:i4>
      </vt:variant>
      <vt:variant>
        <vt:i4>30</vt:i4>
      </vt:variant>
      <vt:variant>
        <vt:i4>0</vt:i4>
      </vt:variant>
      <vt:variant>
        <vt:i4>5</vt:i4>
      </vt:variant>
      <vt:variant>
        <vt:lpwstr>http://www.nevo.co.il/law/91073/204.a.c</vt:lpwstr>
      </vt:variant>
      <vt:variant>
        <vt:lpwstr/>
      </vt:variant>
      <vt:variant>
        <vt:i4>458845</vt:i4>
      </vt:variant>
      <vt:variant>
        <vt:i4>27</vt:i4>
      </vt:variant>
      <vt:variant>
        <vt:i4>0</vt:i4>
      </vt:variant>
      <vt:variant>
        <vt:i4>5</vt:i4>
      </vt:variant>
      <vt:variant>
        <vt:lpwstr>http://www.nevo.co.il/law/91073/156a</vt:lpwstr>
      </vt:variant>
      <vt:variant>
        <vt:lpwstr/>
      </vt:variant>
      <vt:variant>
        <vt:i4>6750315</vt:i4>
      </vt:variant>
      <vt:variant>
        <vt:i4>24</vt:i4>
      </vt:variant>
      <vt:variant>
        <vt:i4>0</vt:i4>
      </vt:variant>
      <vt:variant>
        <vt:i4>5</vt:i4>
      </vt:variant>
      <vt:variant>
        <vt:lpwstr>http://www.nevo.co.il/law/91073/145</vt:lpwstr>
      </vt:variant>
      <vt:variant>
        <vt:lpwstr/>
      </vt:variant>
      <vt:variant>
        <vt:i4>7995492</vt:i4>
      </vt:variant>
      <vt:variant>
        <vt:i4>21</vt:i4>
      </vt:variant>
      <vt:variant>
        <vt:i4>0</vt:i4>
      </vt:variant>
      <vt:variant>
        <vt:i4>5</vt:i4>
      </vt:variant>
      <vt:variant>
        <vt:lpwstr>http://www.nevo.co.il/law/70301</vt:lpwstr>
      </vt:variant>
      <vt:variant>
        <vt:lpwstr/>
      </vt:variant>
      <vt:variant>
        <vt:i4>6684776</vt:i4>
      </vt:variant>
      <vt:variant>
        <vt:i4>18</vt:i4>
      </vt:variant>
      <vt:variant>
        <vt:i4>0</vt:i4>
      </vt:variant>
      <vt:variant>
        <vt:i4>5</vt:i4>
      </vt:variant>
      <vt:variant>
        <vt:lpwstr>http://www.nevo.co.il/law/91073/253</vt:lpwstr>
      </vt:variant>
      <vt:variant>
        <vt:lpwstr/>
      </vt:variant>
      <vt:variant>
        <vt:i4>6488168</vt:i4>
      </vt:variant>
      <vt:variant>
        <vt:i4>15</vt:i4>
      </vt:variant>
      <vt:variant>
        <vt:i4>0</vt:i4>
      </vt:variant>
      <vt:variant>
        <vt:i4>5</vt:i4>
      </vt:variant>
      <vt:variant>
        <vt:lpwstr>http://www.nevo.co.il/law/91073/208</vt:lpwstr>
      </vt:variant>
      <vt:variant>
        <vt:lpwstr/>
      </vt:variant>
      <vt:variant>
        <vt:i4>6488125</vt:i4>
      </vt:variant>
      <vt:variant>
        <vt:i4>12</vt:i4>
      </vt:variant>
      <vt:variant>
        <vt:i4>0</vt:i4>
      </vt:variant>
      <vt:variant>
        <vt:i4>5</vt:i4>
      </vt:variant>
      <vt:variant>
        <vt:lpwstr>http://www.nevo.co.il/law/91073/204.a.c</vt:lpwstr>
      </vt:variant>
      <vt:variant>
        <vt:lpwstr/>
      </vt:variant>
      <vt:variant>
        <vt:i4>458845</vt:i4>
      </vt:variant>
      <vt:variant>
        <vt:i4>9</vt:i4>
      </vt:variant>
      <vt:variant>
        <vt:i4>0</vt:i4>
      </vt:variant>
      <vt:variant>
        <vt:i4>5</vt:i4>
      </vt:variant>
      <vt:variant>
        <vt:lpwstr>http://www.nevo.co.il/law/91073/156a</vt:lpwstr>
      </vt:variant>
      <vt:variant>
        <vt:lpwstr/>
      </vt:variant>
      <vt:variant>
        <vt:i4>6750315</vt:i4>
      </vt:variant>
      <vt:variant>
        <vt:i4>6</vt:i4>
      </vt:variant>
      <vt:variant>
        <vt:i4>0</vt:i4>
      </vt:variant>
      <vt:variant>
        <vt:i4>5</vt:i4>
      </vt:variant>
      <vt:variant>
        <vt:lpwstr>http://www.nevo.co.il/law/91073/145</vt:lpwstr>
      </vt:variant>
      <vt:variant>
        <vt:lpwstr/>
      </vt:variant>
      <vt:variant>
        <vt:i4>5701646</vt:i4>
      </vt:variant>
      <vt:variant>
        <vt:i4>3</vt:i4>
      </vt:variant>
      <vt:variant>
        <vt:i4>0</vt:i4>
      </vt:variant>
      <vt:variant>
        <vt:i4>5</vt:i4>
      </vt:variant>
      <vt:variant>
        <vt:lpwstr>http://www.nevo.co.il/law/91073/ 1T5</vt:lpwstr>
      </vt:variant>
      <vt:variant>
        <vt:lpwstr/>
      </vt:variant>
      <vt:variant>
        <vt:i4>8126569</vt:i4>
      </vt:variant>
      <vt:variant>
        <vt:i4>0</vt:i4>
      </vt:variant>
      <vt:variant>
        <vt:i4>0</vt:i4>
      </vt:variant>
      <vt:variant>
        <vt:i4>5</vt:i4>
      </vt:variant>
      <vt:variant>
        <vt:lpwstr>http://www.nevo.co.il/law/91073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nevo.co.il</dc:title>
  <dc:subject> </dc:subject>
  <dc:creator> </dc:creator>
  <cp:keywords/>
  <dc:description/>
  <cp:lastModifiedBy>*****</cp:lastModifiedBy>
  <cp:revision>2</cp:revision>
  <dcterms:created xsi:type="dcterms:W3CDTF">2014-08-21T06:56:00Z</dcterms:created>
  <dcterms:modified xsi:type="dcterms:W3CDTF">2014-08-21T06:56:00Z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3</vt:lpwstr>
  </property>
  <property fmtid="{D5CDD505-2E9C-101B-9397-08002B2CF9AE}" pid="3" name="PSAKDIN">
    <vt:lpwstr>גזר-דין</vt:lpwstr>
  </property>
  <property fmtid="{D5CDD505-2E9C-101B-9397-08002B2CF9AE}" pid="4" name="NEWPROC">
    <vt:lpwstr>תפ</vt:lpwstr>
  </property>
  <property fmtid="{D5CDD505-2E9C-101B-9397-08002B2CF9AE}" pid="5" name="NEWPARTA">
    <vt:lpwstr>10658</vt:lpwstr>
  </property>
  <property fmtid="{D5CDD505-2E9C-101B-9397-08002B2CF9AE}" pid="6" name="NEWPARTB">
    <vt:lpwstr>02</vt:lpwstr>
  </property>
  <property fmtid="{D5CDD505-2E9C-101B-9397-08002B2CF9AE}" pid="7" name="NEWPARTC">
    <vt:lpwstr>12</vt:lpwstr>
  </property>
  <property fmtid="{D5CDD505-2E9C-101B-9397-08002B2CF9AE}" pid="8" name="APPELLANT">
    <vt:lpwstr>מדינת ישראל</vt:lpwstr>
  </property>
  <property fmtid="{D5CDD505-2E9C-101B-9397-08002B2CF9AE}" pid="9" name="APPELLEE">
    <vt:lpwstr>טרופיגן אירועים בטבע בע#מ;ציון סספורטס</vt:lpwstr>
  </property>
  <property fmtid="{D5CDD505-2E9C-101B-9397-08002B2CF9AE}" pid="10" name="LAWYER">
    <vt:lpwstr>עפרה אורנשטיין;חיים כהן</vt:lpwstr>
  </property>
  <property fmtid="{D5CDD505-2E9C-101B-9397-08002B2CF9AE}" pid="11" name="JUDGE">
    <vt:lpwstr>שלהבת קמיר וייס</vt:lpwstr>
  </property>
  <property fmtid="{D5CDD505-2E9C-101B-9397-08002B2CF9AE}" pid="12" name="CITY">
    <vt:lpwstr>פ"ת</vt:lpwstr>
  </property>
  <property fmtid="{D5CDD505-2E9C-101B-9397-08002B2CF9AE}" pid="13" name="DATE">
    <vt:lpwstr>20131219</vt:lpwstr>
  </property>
  <property fmtid="{D5CDD505-2E9C-101B-9397-08002B2CF9AE}" pid="14" name="TYPE_N_DATE">
    <vt:lpwstr>38020131219</vt:lpwstr>
  </property>
  <property fmtid="{D5CDD505-2E9C-101B-9397-08002B2CF9AE}" pid="15" name="WORDNUMPAGES">
    <vt:lpwstr>6</vt:lpwstr>
  </property>
  <property fmtid="{D5CDD505-2E9C-101B-9397-08002B2CF9AE}" pid="16" name="TYPE_ABS_DATE">
    <vt:lpwstr>380120131219</vt:lpwstr>
  </property>
  <property fmtid="{D5CDD505-2E9C-101B-9397-08002B2CF9AE}" pid="17" name="ISABSTRACT">
    <vt:lpwstr>Y</vt:lpwstr>
  </property>
  <property fmtid="{D5CDD505-2E9C-101B-9397-08002B2CF9AE}" pid="18" name="APPELLANT1">
    <vt:lpwstr/>
  </property>
  <property fmtid="{D5CDD505-2E9C-101B-9397-08002B2CF9AE}" pid="19" name="APPELLANT2">
    <vt:lpwstr/>
  </property>
  <property fmtid="{D5CDD505-2E9C-101B-9397-08002B2CF9AE}" pid="20" name="APPELLEE1">
    <vt:lpwstr/>
  </property>
  <property fmtid="{D5CDD505-2E9C-101B-9397-08002B2CF9AE}" pid="21" name="APPELLEE2">
    <vt:lpwstr/>
  </property>
  <property fmtid="{D5CDD505-2E9C-101B-9397-08002B2CF9AE}" pid="22" name="PROCESS">
    <vt:lpwstr/>
  </property>
  <property fmtid="{D5CDD505-2E9C-101B-9397-08002B2CF9AE}" pid="23" name="PROCNUM">
    <vt:lpwstr/>
  </property>
  <property fmtid="{D5CDD505-2E9C-101B-9397-08002B2CF9AE}" pid="24" name="PROCYEAR">
    <vt:lpwstr/>
  </property>
  <property fmtid="{D5CDD505-2E9C-101B-9397-08002B2CF9AE}" pid="25" name="VOLUME">
    <vt:lpwstr/>
  </property>
  <property fmtid="{D5CDD505-2E9C-101B-9397-08002B2CF9AE}" pid="26" name="PART">
    <vt:lpwstr/>
  </property>
  <property fmtid="{D5CDD505-2E9C-101B-9397-08002B2CF9AE}" pid="27" name="PAGE">
    <vt:lpwstr/>
  </property>
  <property fmtid="{D5CDD505-2E9C-101B-9397-08002B2CF9AE}" pid="28" name="PADIMAIL">
    <vt:lpwstr>YES</vt:lpwstr>
  </property>
  <property fmtid="{D5CDD505-2E9C-101B-9397-08002B2CF9AE}" pid="29" name="DELEMATA">
    <vt:lpwstr/>
  </property>
  <property fmtid="{D5CDD505-2E9C-101B-9397-08002B2CF9AE}" pid="30" name="LINKK1">
    <vt:lpwstr/>
  </property>
  <property fmtid="{D5CDD505-2E9C-101B-9397-08002B2CF9AE}" pid="31" name="LINKK2">
    <vt:lpwstr/>
  </property>
  <property fmtid="{D5CDD505-2E9C-101B-9397-08002B2CF9AE}" pid="32" name="LINKK3">
    <vt:lpwstr/>
  </property>
  <property fmtid="{D5CDD505-2E9C-101B-9397-08002B2CF9AE}" pid="33" name="LINKK4">
    <vt:lpwstr/>
  </property>
  <property fmtid="{D5CDD505-2E9C-101B-9397-08002B2CF9AE}" pid="34" name="LINKK5">
    <vt:lpwstr/>
  </property>
  <property fmtid="{D5CDD505-2E9C-101B-9397-08002B2CF9AE}" pid="35" name="LAWLISTTMP1">
    <vt:lpwstr>91073/145;156a;204.a.c;208;253; 1T5</vt:lpwstr>
  </property>
  <property fmtid="{D5CDD505-2E9C-101B-9397-08002B2CF9AE}" pid="36" name="LAWLISTTMP2">
    <vt:lpwstr>70301</vt:lpwstr>
  </property>
  <property fmtid="{D5CDD505-2E9C-101B-9397-08002B2CF9AE}" pid="37" name="METAKZER">
    <vt:lpwstr>עומרי</vt:lpwstr>
  </property>
  <property fmtid="{D5CDD505-2E9C-101B-9397-08002B2CF9AE}" pid="38" name="NOSE1ID">
    <vt:lpwstr>103;103</vt:lpwstr>
  </property>
  <property fmtid="{D5CDD505-2E9C-101B-9397-08002B2CF9AE}" pid="39" name="NOSE2ID">
    <vt:lpwstr>1818;1818</vt:lpwstr>
  </property>
  <property fmtid="{D5CDD505-2E9C-101B-9397-08002B2CF9AE}" pid="40" name="NOSE3ID">
    <vt:lpwstr>11153;11157</vt:lpwstr>
  </property>
  <property fmtid="{D5CDD505-2E9C-101B-9397-08002B2CF9AE}" pid="41" name="NOSE11">
    <vt:lpwstr>תכנון ובנייה</vt:lpwstr>
  </property>
  <property fmtid="{D5CDD505-2E9C-101B-9397-08002B2CF9AE}" pid="42" name="NOSE21">
    <vt:lpwstr>ענישה</vt:lpwstr>
  </property>
  <property fmtid="{D5CDD505-2E9C-101B-9397-08002B2CF9AE}" pid="43" name="NOSE31">
    <vt:lpwstr>בנייה ושימוש ללא היתר</vt:lpwstr>
  </property>
  <property fmtid="{D5CDD505-2E9C-101B-9397-08002B2CF9AE}" pid="44" name="NOSE12">
    <vt:lpwstr>תכנון ובנייה</vt:lpwstr>
  </property>
  <property fmtid="{D5CDD505-2E9C-101B-9397-08002B2CF9AE}" pid="45" name="NOSE22">
    <vt:lpwstr>ענישה</vt:lpwstr>
  </property>
  <property fmtid="{D5CDD505-2E9C-101B-9397-08002B2CF9AE}" pid="46" name="NOSE32">
    <vt:lpwstr>מדיניות ענישה</vt:lpwstr>
  </property>
  <property fmtid="{D5CDD505-2E9C-101B-9397-08002B2CF9AE}" pid="47" name="NOSE13">
    <vt:lpwstr/>
  </property>
  <property fmtid="{D5CDD505-2E9C-101B-9397-08002B2CF9AE}" pid="48" name="NOSE23">
    <vt:lpwstr/>
  </property>
  <property fmtid="{D5CDD505-2E9C-101B-9397-08002B2CF9AE}" pid="49" name="NOSE33">
    <vt:lpwstr/>
  </property>
  <property fmtid="{D5CDD505-2E9C-101B-9397-08002B2CF9AE}" pid="50" name="NOSE14">
    <vt:lpwstr/>
  </property>
  <property fmtid="{D5CDD505-2E9C-101B-9397-08002B2CF9AE}" pid="51" name="NOSE24">
    <vt:lpwstr/>
  </property>
  <property fmtid="{D5CDD505-2E9C-101B-9397-08002B2CF9AE}" pid="52" name="NOSE34">
    <vt:lpwstr/>
  </property>
  <property fmtid="{D5CDD505-2E9C-101B-9397-08002B2CF9AE}" pid="53" name="NOSE15">
    <vt:lpwstr/>
  </property>
  <property fmtid="{D5CDD505-2E9C-101B-9397-08002B2CF9AE}" pid="54" name="NOSE25">
    <vt:lpwstr/>
  </property>
  <property fmtid="{D5CDD505-2E9C-101B-9397-08002B2CF9AE}" pid="55" name="NOSE35">
    <vt:lpwstr/>
  </property>
  <property fmtid="{D5CDD505-2E9C-101B-9397-08002B2CF9AE}" pid="56" name="NOSE16">
    <vt:lpwstr/>
  </property>
  <property fmtid="{D5CDD505-2E9C-101B-9397-08002B2CF9AE}" pid="57" name="NOSE26">
    <vt:lpwstr/>
  </property>
  <property fmtid="{D5CDD505-2E9C-101B-9397-08002B2CF9AE}" pid="58" name="NOSE36">
    <vt:lpwstr/>
  </property>
  <property fmtid="{D5CDD505-2E9C-101B-9397-08002B2CF9AE}" pid="59" name="NOSE17">
    <vt:lpwstr/>
  </property>
  <property fmtid="{D5CDD505-2E9C-101B-9397-08002B2CF9AE}" pid="60" name="NOSE27">
    <vt:lpwstr/>
  </property>
  <property fmtid="{D5CDD505-2E9C-101B-9397-08002B2CF9AE}" pid="61" name="NOSE37">
    <vt:lpwstr/>
  </property>
  <property fmtid="{D5CDD505-2E9C-101B-9397-08002B2CF9AE}" pid="62" name="NOSE18">
    <vt:lpwstr/>
  </property>
  <property fmtid="{D5CDD505-2E9C-101B-9397-08002B2CF9AE}" pid="63" name="NOSE28">
    <vt:lpwstr/>
  </property>
  <property fmtid="{D5CDD505-2E9C-101B-9397-08002B2CF9AE}" pid="64" name="NOSE38">
    <vt:lpwstr/>
  </property>
  <property fmtid="{D5CDD505-2E9C-101B-9397-08002B2CF9AE}" pid="65" name="NOSE19">
    <vt:lpwstr/>
  </property>
  <property fmtid="{D5CDD505-2E9C-101B-9397-08002B2CF9AE}" pid="66" name="NOSE29">
    <vt:lpwstr/>
  </property>
  <property fmtid="{D5CDD505-2E9C-101B-9397-08002B2CF9AE}" pid="67" name="NOSE39">
    <vt:lpwstr/>
  </property>
  <property fmtid="{D5CDD505-2E9C-101B-9397-08002B2CF9AE}" pid="68" name="NOSE110">
    <vt:lpwstr/>
  </property>
  <property fmtid="{D5CDD505-2E9C-101B-9397-08002B2CF9AE}" pid="69" name="NOSE210">
    <vt:lpwstr/>
  </property>
  <property fmtid="{D5CDD505-2E9C-101B-9397-08002B2CF9AE}" pid="70" name="NOSE310">
    <vt:lpwstr/>
  </property>
  <property fmtid="{D5CDD505-2E9C-101B-9397-08002B2CF9AE}" pid="71" name="PADIDATE">
    <vt:lpwstr>20140106</vt:lpwstr>
  </property>
</Properties>
</file>