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40F9">
      <w:pPr>
        <w:jc w:val="center"/>
        <w:rPr>
          <w:rtl/>
        </w:rPr>
      </w:pPr>
      <w:bookmarkStart w:id="0" w:name="LastJudge"/>
      <w:r>
        <w:rPr>
          <w:rFonts w:hint="cs"/>
          <w:b/>
          <w:bCs/>
          <w:szCs w:val="32"/>
          <w:rtl/>
        </w:rPr>
        <w:t>בתי המשפט</w:t>
      </w:r>
      <w:r>
        <w:rPr>
          <w:rFonts w:hint="cs"/>
          <w:rtl/>
        </w:rPr>
        <w:t xml:space="preserve"> </w:t>
      </w:r>
    </w:p>
    <w:tbl>
      <w:tblPr>
        <w:bidiVisual/>
        <w:tblW w:w="0" w:type="auto"/>
        <w:tblBorders>
          <w:top w:val="single" w:sz="4" w:space="0" w:color="auto"/>
          <w:left w:val="single" w:sz="4" w:space="0" w:color="auto"/>
          <w:bottom w:val="single" w:sz="4" w:space="0" w:color="auto"/>
          <w:right w:val="single" w:sz="4" w:space="0" w:color="auto"/>
        </w:tblBorders>
        <w:tblLook w:val="0000"/>
      </w:tblPr>
      <w:tblGrid>
        <w:gridCol w:w="908"/>
        <w:gridCol w:w="4706"/>
        <w:gridCol w:w="964"/>
        <w:gridCol w:w="1951"/>
      </w:tblGrid>
      <w:tr w:rsidR="004140F9" w:rsidTr="004140F9">
        <w:trPr>
          <w:cantSplit/>
          <w:trHeight w:val="195"/>
        </w:trPr>
        <w:tc>
          <w:tcPr>
            <w:tcW w:w="5614" w:type="dxa"/>
            <w:gridSpan w:val="2"/>
            <w:tcBorders>
              <w:top w:val="single" w:sz="4" w:space="0" w:color="auto"/>
              <w:left w:val="single" w:sz="4" w:space="0" w:color="auto"/>
              <w:bottom w:val="single" w:sz="4" w:space="0" w:color="auto"/>
              <w:right w:val="single" w:sz="4" w:space="0" w:color="auto"/>
            </w:tcBorders>
          </w:tcPr>
          <w:p w:rsidR="004140F9" w:rsidRDefault="004140F9">
            <w:pPr>
              <w:spacing w:after="120" w:line="320" w:lineRule="exact"/>
              <w:rPr>
                <w:b/>
                <w:bCs/>
                <w:sz w:val="28"/>
                <w:szCs w:val="28"/>
              </w:rPr>
            </w:pPr>
            <w:r>
              <w:rPr>
                <w:rFonts w:hint="cs"/>
                <w:b/>
                <w:bCs/>
                <w:sz w:val="28"/>
                <w:szCs w:val="28"/>
                <w:rtl/>
              </w:rPr>
              <w:t>בית משפט לתעבורה ירושלים</w:t>
            </w:r>
          </w:p>
        </w:tc>
        <w:tc>
          <w:tcPr>
            <w:tcW w:w="2915" w:type="dxa"/>
            <w:gridSpan w:val="2"/>
            <w:tcBorders>
              <w:top w:val="single" w:sz="4" w:space="0" w:color="auto"/>
              <w:left w:val="single" w:sz="4" w:space="0" w:color="auto"/>
              <w:bottom w:val="single" w:sz="4" w:space="0" w:color="auto"/>
              <w:right w:val="single" w:sz="4" w:space="0" w:color="auto"/>
            </w:tcBorders>
          </w:tcPr>
          <w:p w:rsidR="004140F9" w:rsidRDefault="004140F9">
            <w:pPr>
              <w:spacing w:after="120" w:line="320" w:lineRule="exact"/>
              <w:rPr>
                <w:b/>
                <w:bCs/>
                <w:sz w:val="28"/>
                <w:szCs w:val="28"/>
              </w:rPr>
            </w:pPr>
            <w:r>
              <w:rPr>
                <w:rFonts w:hint="cs"/>
                <w:b/>
                <w:bCs/>
                <w:sz w:val="28"/>
                <w:szCs w:val="28"/>
                <w:rtl/>
              </w:rPr>
              <w:t>תד 002971/06</w:t>
            </w:r>
          </w:p>
        </w:tc>
      </w:tr>
      <w:tr w:rsidR="004140F9" w:rsidTr="004140F9">
        <w:trPr>
          <w:trHeight w:val="286"/>
        </w:trPr>
        <w:tc>
          <w:tcPr>
            <w:tcW w:w="908" w:type="dxa"/>
            <w:tcBorders>
              <w:top w:val="single" w:sz="4" w:space="0" w:color="auto"/>
              <w:left w:val="single" w:sz="4" w:space="0" w:color="auto"/>
              <w:bottom w:val="single" w:sz="4" w:space="0" w:color="auto"/>
              <w:right w:val="single" w:sz="4" w:space="0" w:color="auto"/>
            </w:tcBorders>
          </w:tcPr>
          <w:p w:rsidR="004140F9" w:rsidRDefault="004140F9">
            <w:pPr>
              <w:spacing w:after="120" w:line="320" w:lineRule="exact"/>
              <w:rPr>
                <w:b/>
                <w:bCs/>
                <w:sz w:val="28"/>
                <w:szCs w:val="28"/>
              </w:rPr>
            </w:pPr>
            <w:r>
              <w:rPr>
                <w:rFonts w:hint="cs"/>
                <w:b/>
                <w:bCs/>
                <w:sz w:val="28"/>
                <w:szCs w:val="28"/>
                <w:rtl/>
              </w:rPr>
              <w:t>בפני:</w:t>
            </w:r>
          </w:p>
        </w:tc>
        <w:tc>
          <w:tcPr>
            <w:tcW w:w="4706" w:type="dxa"/>
            <w:tcBorders>
              <w:top w:val="single" w:sz="4" w:space="0" w:color="auto"/>
              <w:left w:val="single" w:sz="4" w:space="0" w:color="auto"/>
              <w:bottom w:val="single" w:sz="4" w:space="0" w:color="auto"/>
              <w:right w:val="single" w:sz="4" w:space="0" w:color="auto"/>
            </w:tcBorders>
          </w:tcPr>
          <w:p w:rsidR="004140F9" w:rsidRDefault="004140F9">
            <w:pPr>
              <w:spacing w:after="120" w:line="320" w:lineRule="exact"/>
              <w:rPr>
                <w:b/>
                <w:bCs/>
                <w:sz w:val="28"/>
                <w:szCs w:val="28"/>
              </w:rPr>
            </w:pPr>
            <w:r>
              <w:rPr>
                <w:rFonts w:hint="cs"/>
                <w:b/>
                <w:bCs/>
                <w:sz w:val="28"/>
                <w:szCs w:val="28"/>
                <w:rtl/>
              </w:rPr>
              <w:t>כב' השופט אברהם טננבוים</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140F9" w:rsidRDefault="004140F9">
            <w:pPr>
              <w:spacing w:after="120" w:line="320" w:lineRule="exact"/>
              <w:rPr>
                <w:b/>
                <w:bCs/>
                <w:sz w:val="28"/>
                <w:szCs w:val="28"/>
              </w:rPr>
            </w:pPr>
            <w:r>
              <w:rPr>
                <w:rFonts w:hint="cs"/>
                <w:b/>
                <w:bCs/>
                <w:sz w:val="28"/>
                <w:szCs w:val="28"/>
                <w:rtl/>
              </w:rPr>
              <w:t>תאריך:</w:t>
            </w:r>
          </w:p>
        </w:tc>
        <w:tc>
          <w:tcPr>
            <w:tcW w:w="1951" w:type="dxa"/>
            <w:tcBorders>
              <w:top w:val="single" w:sz="4" w:space="0" w:color="auto"/>
              <w:left w:val="single" w:sz="4" w:space="0" w:color="auto"/>
              <w:bottom w:val="single" w:sz="4" w:space="0" w:color="auto"/>
              <w:right w:val="single" w:sz="4" w:space="0" w:color="auto"/>
            </w:tcBorders>
          </w:tcPr>
          <w:p w:rsidR="004140F9" w:rsidRDefault="004140F9">
            <w:pPr>
              <w:spacing w:after="120" w:line="320" w:lineRule="exact"/>
              <w:rPr>
                <w:b/>
                <w:bCs/>
                <w:sz w:val="28"/>
                <w:szCs w:val="28"/>
              </w:rPr>
            </w:pPr>
            <w:r>
              <w:rPr>
                <w:rFonts w:hint="cs"/>
                <w:b/>
                <w:bCs/>
                <w:sz w:val="28"/>
                <w:szCs w:val="28"/>
                <w:rtl/>
              </w:rPr>
              <w:t>07/11/2007</w:t>
            </w:r>
          </w:p>
        </w:tc>
      </w:tr>
    </w:tbl>
    <w:p w:rsidR="00000000" w:rsidRDefault="004140F9">
      <w:pPr>
        <w:spacing w:after="120" w:line="320" w:lineRule="exact"/>
        <w:rPr>
          <w:rFonts w:hint="cs"/>
          <w:szCs w:val="22"/>
          <w:rtl/>
        </w:rPr>
      </w:pPr>
    </w:p>
    <w:tbl>
      <w:tblPr>
        <w:bidiVisual/>
        <w:tblW w:w="8591" w:type="dxa"/>
        <w:tblInd w:w="56" w:type="dxa"/>
        <w:tblCellMar>
          <w:left w:w="107" w:type="dxa"/>
          <w:right w:w="107" w:type="dxa"/>
        </w:tblCellMar>
        <w:tblLook w:val="0000"/>
      </w:tblPr>
      <w:tblGrid>
        <w:gridCol w:w="1362"/>
        <w:gridCol w:w="1757"/>
        <w:gridCol w:w="3063"/>
        <w:gridCol w:w="2409"/>
      </w:tblGrid>
      <w:tr w:rsidR="004140F9" w:rsidTr="004140F9">
        <w:tc>
          <w:tcPr>
            <w:tcW w:w="1362" w:type="dxa"/>
          </w:tcPr>
          <w:p w:rsidR="004140F9" w:rsidRDefault="004140F9">
            <w:pPr>
              <w:spacing w:after="120" w:line="320" w:lineRule="exact"/>
              <w:rPr>
                <w:b/>
                <w:bCs/>
                <w:sz w:val="28"/>
                <w:szCs w:val="28"/>
              </w:rPr>
            </w:pPr>
            <w:r>
              <w:rPr>
                <w:rFonts w:hint="cs"/>
                <w:b/>
                <w:bCs/>
                <w:sz w:val="28"/>
                <w:szCs w:val="28"/>
                <w:rtl/>
              </w:rPr>
              <w:t>בעניין:</w:t>
            </w:r>
          </w:p>
        </w:tc>
        <w:tc>
          <w:tcPr>
            <w:tcW w:w="4820" w:type="dxa"/>
            <w:gridSpan w:val="2"/>
          </w:tcPr>
          <w:p w:rsidR="004140F9" w:rsidRDefault="004140F9">
            <w:pPr>
              <w:pStyle w:val="a8"/>
              <w:spacing w:after="120" w:line="320" w:lineRule="exact"/>
              <w:rPr>
                <w:sz w:val="28"/>
                <w:szCs w:val="28"/>
              </w:rPr>
            </w:pPr>
            <w:r>
              <w:rPr>
                <w:rFonts w:hint="cs"/>
                <w:sz w:val="28"/>
                <w:szCs w:val="28"/>
                <w:rtl/>
              </w:rPr>
              <w:t>מדינת ישראל ע"י לשכת תביעות את"ן י-ם</w:t>
            </w:r>
          </w:p>
        </w:tc>
        <w:tc>
          <w:tcPr>
            <w:tcW w:w="2409" w:type="dxa"/>
          </w:tcPr>
          <w:p w:rsidR="004140F9" w:rsidRDefault="004140F9">
            <w:pPr>
              <w:pStyle w:val="a8"/>
              <w:spacing w:after="120" w:line="320" w:lineRule="exact"/>
              <w:rPr>
                <w:sz w:val="28"/>
                <w:szCs w:val="28"/>
              </w:rPr>
            </w:pPr>
          </w:p>
        </w:tc>
      </w:tr>
      <w:tr w:rsidR="004140F9" w:rsidTr="004140F9">
        <w:tc>
          <w:tcPr>
            <w:tcW w:w="1362" w:type="dxa"/>
          </w:tcPr>
          <w:p w:rsidR="004140F9" w:rsidRDefault="004140F9">
            <w:pPr>
              <w:pStyle w:val="a8"/>
              <w:spacing w:after="120" w:line="320" w:lineRule="exact"/>
              <w:rPr>
                <w:sz w:val="28"/>
                <w:szCs w:val="28"/>
              </w:rPr>
            </w:pPr>
            <w:bookmarkStart w:id="1" w:name="בא_כוח_א" w:colFirst="2" w:colLast="2"/>
            <w:bookmarkStart w:id="2" w:name="FirstLawyer"/>
          </w:p>
        </w:tc>
        <w:tc>
          <w:tcPr>
            <w:tcW w:w="1757" w:type="dxa"/>
          </w:tcPr>
          <w:p w:rsidR="004140F9" w:rsidRDefault="004140F9">
            <w:pPr>
              <w:pStyle w:val="a8"/>
              <w:spacing w:after="120" w:line="320" w:lineRule="exact"/>
              <w:rPr>
                <w:sz w:val="28"/>
                <w:szCs w:val="28"/>
              </w:rPr>
            </w:pPr>
            <w:r>
              <w:rPr>
                <w:rFonts w:hint="cs"/>
                <w:sz w:val="28"/>
                <w:szCs w:val="28"/>
                <w:rtl/>
              </w:rPr>
              <w:t>ע"י ב"כ עו"ד</w:t>
            </w:r>
          </w:p>
        </w:tc>
        <w:tc>
          <w:tcPr>
            <w:tcW w:w="3063" w:type="dxa"/>
          </w:tcPr>
          <w:p w:rsidR="004140F9" w:rsidRDefault="004140F9">
            <w:pPr>
              <w:pStyle w:val="a8"/>
              <w:spacing w:after="120" w:line="320" w:lineRule="exact"/>
              <w:rPr>
                <w:sz w:val="28"/>
                <w:szCs w:val="28"/>
              </w:rPr>
            </w:pPr>
            <w:r>
              <w:rPr>
                <w:rFonts w:hint="cs"/>
                <w:sz w:val="28"/>
                <w:szCs w:val="28"/>
                <w:rtl/>
              </w:rPr>
              <w:t>זוהר גיאת</w:t>
            </w:r>
          </w:p>
        </w:tc>
        <w:tc>
          <w:tcPr>
            <w:tcW w:w="2409" w:type="dxa"/>
          </w:tcPr>
          <w:p w:rsidR="004140F9" w:rsidRDefault="004140F9">
            <w:pPr>
              <w:pStyle w:val="a8"/>
              <w:spacing w:after="120" w:line="320" w:lineRule="exact"/>
              <w:rPr>
                <w:sz w:val="28"/>
                <w:szCs w:val="28"/>
              </w:rPr>
            </w:pPr>
            <w:r>
              <w:rPr>
                <w:rFonts w:hint="cs"/>
                <w:sz w:val="28"/>
                <w:szCs w:val="28"/>
                <w:rtl/>
              </w:rPr>
              <w:t>המאשימה</w:t>
            </w:r>
          </w:p>
        </w:tc>
      </w:tr>
      <w:bookmarkEnd w:id="1"/>
      <w:bookmarkEnd w:id="2"/>
      <w:tr w:rsidR="004140F9" w:rsidTr="004140F9">
        <w:tc>
          <w:tcPr>
            <w:tcW w:w="1362" w:type="dxa"/>
          </w:tcPr>
          <w:p w:rsidR="004140F9" w:rsidRDefault="004140F9">
            <w:pPr>
              <w:pStyle w:val="a8"/>
              <w:spacing w:after="120" w:line="320" w:lineRule="exact"/>
              <w:rPr>
                <w:sz w:val="28"/>
                <w:szCs w:val="28"/>
              </w:rPr>
            </w:pPr>
          </w:p>
        </w:tc>
        <w:tc>
          <w:tcPr>
            <w:tcW w:w="4820" w:type="dxa"/>
            <w:gridSpan w:val="2"/>
          </w:tcPr>
          <w:p w:rsidR="004140F9" w:rsidRDefault="004140F9">
            <w:pPr>
              <w:pStyle w:val="a8"/>
              <w:spacing w:after="120" w:line="320" w:lineRule="exact"/>
              <w:jc w:val="center"/>
              <w:rPr>
                <w:sz w:val="28"/>
                <w:szCs w:val="28"/>
              </w:rPr>
            </w:pPr>
            <w:r>
              <w:rPr>
                <w:rFonts w:hint="cs"/>
                <w:sz w:val="28"/>
                <w:szCs w:val="28"/>
                <w:rtl/>
              </w:rPr>
              <w:t xml:space="preserve"> נ  ג  ד</w:t>
            </w:r>
          </w:p>
        </w:tc>
        <w:tc>
          <w:tcPr>
            <w:tcW w:w="2409" w:type="dxa"/>
          </w:tcPr>
          <w:p w:rsidR="004140F9" w:rsidRDefault="004140F9">
            <w:pPr>
              <w:pStyle w:val="a8"/>
              <w:spacing w:after="120" w:line="320" w:lineRule="exact"/>
              <w:rPr>
                <w:sz w:val="28"/>
                <w:szCs w:val="28"/>
              </w:rPr>
            </w:pPr>
          </w:p>
        </w:tc>
      </w:tr>
      <w:tr w:rsidR="004140F9" w:rsidTr="004140F9">
        <w:tc>
          <w:tcPr>
            <w:tcW w:w="1362" w:type="dxa"/>
          </w:tcPr>
          <w:p w:rsidR="004140F9" w:rsidRDefault="004140F9">
            <w:pPr>
              <w:pStyle w:val="a8"/>
              <w:spacing w:after="120" w:line="320" w:lineRule="exact"/>
              <w:rPr>
                <w:sz w:val="28"/>
                <w:szCs w:val="28"/>
              </w:rPr>
            </w:pPr>
            <w:bookmarkStart w:id="3" w:name="שם_ב" w:colFirst="1" w:colLast="1"/>
          </w:p>
        </w:tc>
        <w:tc>
          <w:tcPr>
            <w:tcW w:w="4820" w:type="dxa"/>
            <w:gridSpan w:val="2"/>
          </w:tcPr>
          <w:p w:rsidR="004140F9" w:rsidRDefault="004140F9">
            <w:pPr>
              <w:pStyle w:val="a8"/>
              <w:spacing w:after="120" w:line="320" w:lineRule="exact"/>
              <w:rPr>
                <w:sz w:val="28"/>
                <w:szCs w:val="28"/>
              </w:rPr>
            </w:pPr>
            <w:r>
              <w:rPr>
                <w:rFonts w:hint="cs"/>
                <w:sz w:val="28"/>
                <w:szCs w:val="28"/>
                <w:rtl/>
              </w:rPr>
              <w:t>חובב שירה</w:t>
            </w:r>
          </w:p>
        </w:tc>
        <w:tc>
          <w:tcPr>
            <w:tcW w:w="2409" w:type="dxa"/>
          </w:tcPr>
          <w:p w:rsidR="004140F9" w:rsidRDefault="004140F9">
            <w:pPr>
              <w:pStyle w:val="a8"/>
              <w:spacing w:after="120" w:line="320" w:lineRule="exact"/>
              <w:rPr>
                <w:sz w:val="28"/>
                <w:szCs w:val="28"/>
              </w:rPr>
            </w:pPr>
          </w:p>
        </w:tc>
      </w:tr>
      <w:tr w:rsidR="004140F9" w:rsidTr="004140F9">
        <w:tc>
          <w:tcPr>
            <w:tcW w:w="1362" w:type="dxa"/>
          </w:tcPr>
          <w:p w:rsidR="004140F9" w:rsidRDefault="004140F9">
            <w:pPr>
              <w:pStyle w:val="a8"/>
              <w:spacing w:after="120" w:line="320" w:lineRule="exact"/>
              <w:rPr>
                <w:sz w:val="28"/>
                <w:szCs w:val="28"/>
              </w:rPr>
            </w:pPr>
            <w:bookmarkStart w:id="4" w:name="בא_כוח_ב" w:colFirst="2" w:colLast="2"/>
            <w:bookmarkEnd w:id="3"/>
          </w:p>
        </w:tc>
        <w:tc>
          <w:tcPr>
            <w:tcW w:w="1757" w:type="dxa"/>
          </w:tcPr>
          <w:p w:rsidR="004140F9" w:rsidRDefault="004140F9">
            <w:pPr>
              <w:pStyle w:val="a8"/>
              <w:spacing w:after="120" w:line="320" w:lineRule="exact"/>
              <w:rPr>
                <w:sz w:val="28"/>
                <w:szCs w:val="28"/>
              </w:rPr>
            </w:pPr>
            <w:r>
              <w:rPr>
                <w:rFonts w:hint="cs"/>
                <w:sz w:val="28"/>
                <w:szCs w:val="28"/>
                <w:rtl/>
              </w:rPr>
              <w:t>ע"י ב"כ עו"ד</w:t>
            </w:r>
          </w:p>
        </w:tc>
        <w:tc>
          <w:tcPr>
            <w:tcW w:w="3063" w:type="dxa"/>
          </w:tcPr>
          <w:p w:rsidR="004140F9" w:rsidRDefault="004140F9">
            <w:pPr>
              <w:pStyle w:val="a8"/>
              <w:spacing w:after="120" w:line="320" w:lineRule="exact"/>
              <w:rPr>
                <w:sz w:val="28"/>
                <w:szCs w:val="28"/>
              </w:rPr>
            </w:pPr>
            <w:r>
              <w:rPr>
                <w:rFonts w:hint="cs"/>
                <w:sz w:val="28"/>
                <w:szCs w:val="28"/>
                <w:rtl/>
              </w:rPr>
              <w:t>חיים כהן</w:t>
            </w:r>
          </w:p>
        </w:tc>
        <w:tc>
          <w:tcPr>
            <w:tcW w:w="2409" w:type="dxa"/>
          </w:tcPr>
          <w:p w:rsidR="004140F9" w:rsidRDefault="004140F9">
            <w:pPr>
              <w:pStyle w:val="a8"/>
              <w:spacing w:after="120" w:line="320" w:lineRule="exact"/>
              <w:rPr>
                <w:sz w:val="28"/>
                <w:szCs w:val="28"/>
              </w:rPr>
            </w:pPr>
            <w:r>
              <w:rPr>
                <w:rFonts w:hint="cs"/>
                <w:sz w:val="28"/>
                <w:szCs w:val="28"/>
                <w:rtl/>
              </w:rPr>
              <w:t>הנאשם</w:t>
            </w:r>
          </w:p>
        </w:tc>
      </w:tr>
      <w:bookmarkEnd w:id="4"/>
    </w:tbl>
    <w:p w:rsidR="00000000" w:rsidRDefault="004140F9">
      <w:pPr>
        <w:pStyle w:val="a8"/>
        <w:spacing w:line="240" w:lineRule="auto"/>
        <w:rPr>
          <w:rFonts w:hint="cs"/>
          <w:sz w:val="28"/>
          <w:szCs w:val="28"/>
          <w:rtl/>
        </w:rPr>
      </w:pPr>
    </w:p>
    <w:p w:rsidR="00000000" w:rsidRDefault="004140F9">
      <w:pPr>
        <w:jc w:val="center"/>
        <w:rPr>
          <w:b/>
          <w:bCs/>
          <w:sz w:val="32"/>
          <w:szCs w:val="32"/>
          <w:u w:val="single"/>
          <w:rtl/>
        </w:rPr>
      </w:pPr>
      <w:bookmarkStart w:id="5" w:name="סוג_מסמך"/>
      <w:bookmarkStart w:id="6" w:name="PsakDin"/>
      <w:bookmarkEnd w:id="0"/>
      <w:bookmarkEnd w:id="5"/>
      <w:r>
        <w:rPr>
          <w:b/>
          <w:bCs/>
          <w:sz w:val="32"/>
          <w:szCs w:val="32"/>
          <w:u w:val="single"/>
          <w:rtl/>
        </w:rPr>
        <w:t>הכרעת דין</w:t>
      </w:r>
    </w:p>
    <w:bookmarkEnd w:id="6"/>
    <w:p w:rsidR="00000000" w:rsidRDefault="004140F9">
      <w:pPr>
        <w:rPr>
          <w:rFonts w:hint="cs"/>
          <w:rtl/>
        </w:rPr>
      </w:pPr>
    </w:p>
    <w:p w:rsidR="00000000" w:rsidRDefault="004140F9">
      <w:pPr>
        <w:rPr>
          <w:u w:val="single"/>
          <w:rtl/>
        </w:rPr>
      </w:pPr>
      <w:r>
        <w:rPr>
          <w:rFonts w:hint="cs"/>
          <w:u w:val="single"/>
          <w:rtl/>
        </w:rPr>
        <w:t>החלטתי לז</w:t>
      </w:r>
      <w:r>
        <w:rPr>
          <w:rFonts w:hint="cs"/>
          <w:u w:val="single"/>
          <w:rtl/>
        </w:rPr>
        <w:t>כות את הנאשמת כפי שיפורט.</w:t>
      </w:r>
    </w:p>
    <w:p w:rsidR="00000000" w:rsidRDefault="004140F9">
      <w:pPr>
        <w:rPr>
          <w:rFonts w:hint="cs"/>
          <w:rtl/>
        </w:rPr>
      </w:pPr>
    </w:p>
    <w:p w:rsidR="00000000" w:rsidRDefault="004140F9">
      <w:pPr>
        <w:pStyle w:val="a6"/>
        <w:jc w:val="center"/>
        <w:rPr>
          <w:rFonts w:hint="cs"/>
          <w:u w:val="single"/>
          <w:rtl/>
        </w:rPr>
      </w:pPr>
      <w:r>
        <w:rPr>
          <w:rFonts w:hint="cs"/>
          <w:u w:val="single"/>
          <w:rtl/>
        </w:rPr>
        <w:t>העובדות בקצרה</w:t>
      </w:r>
    </w:p>
    <w:p w:rsidR="00000000" w:rsidRDefault="004140F9">
      <w:pPr>
        <w:pStyle w:val="a6"/>
        <w:rPr>
          <w:rFonts w:hint="cs"/>
          <w:rtl/>
        </w:rPr>
      </w:pPr>
    </w:p>
    <w:p w:rsidR="00000000" w:rsidRDefault="004140F9">
      <w:pPr>
        <w:pStyle w:val="a6"/>
        <w:rPr>
          <w:rFonts w:hint="cs"/>
          <w:rtl/>
        </w:rPr>
      </w:pPr>
      <w:r>
        <w:rPr>
          <w:rFonts w:hint="cs"/>
          <w:rtl/>
        </w:rPr>
        <w:t>1.</w:t>
      </w:r>
      <w:r>
        <w:rPr>
          <w:rFonts w:hint="cs"/>
          <w:rtl/>
        </w:rPr>
        <w:tab/>
      </w:r>
      <w:bookmarkStart w:id="7" w:name="ABSTRACT_START"/>
      <w:bookmarkEnd w:id="7"/>
      <w:r>
        <w:rPr>
          <w:rFonts w:hint="cs"/>
          <w:rtl/>
        </w:rPr>
        <w:t>הנאשמת שירה חובב (להלן "הנאשמת"), הואשמה בעבירות של בגרימת מוות ברשלנות, חוסר זהירות, חציית קו הפרדה רצוף ואי חגירת חגורת בטיחות</w:t>
      </w:r>
      <w:bookmarkStart w:id="8" w:name="ABSTRACT_END"/>
      <w:bookmarkEnd w:id="8"/>
      <w:r>
        <w:rPr>
          <w:rFonts w:hint="cs"/>
          <w:rtl/>
        </w:rPr>
        <w:t>. על פי עובדות כתב האישום נהגה הנאשמת ביום  2/7/04 בסמוך לשעה 15:30 ברכב מסוג שברול</w:t>
      </w:r>
      <w:r>
        <w:rPr>
          <w:rFonts w:hint="cs"/>
          <w:rtl/>
        </w:rPr>
        <w:t>ט (להלן "השברולט"), בכביש 60 מכוון ירושלים לכוון קריית ארבע כשברכב בעלה וחמשת ילדיהם.</w:t>
      </w:r>
    </w:p>
    <w:p w:rsidR="00000000" w:rsidRDefault="004140F9">
      <w:pPr>
        <w:rPr>
          <w:rFonts w:hint="cs"/>
          <w:rtl/>
        </w:rPr>
      </w:pPr>
    </w:p>
    <w:p w:rsidR="00000000" w:rsidRDefault="004140F9">
      <w:pPr>
        <w:rPr>
          <w:rFonts w:hint="cs"/>
          <w:rtl/>
        </w:rPr>
      </w:pPr>
      <w:r>
        <w:rPr>
          <w:rFonts w:hint="cs"/>
          <w:rtl/>
        </w:rPr>
        <w:t>2.</w:t>
      </w:r>
      <w:r>
        <w:rPr>
          <w:rFonts w:hint="cs"/>
          <w:rtl/>
        </w:rPr>
        <w:tab/>
        <w:t>בסמוך לצומת חוסאן סטה רכב השברולט מסיבה לא ידועה, תוך שהוא חוצה קו הפרדה רצוף אל הנתיב הנגדי. בנתיב הנגדי נסע אותה עת ג'יפ מסוג  מיצובישי (להלן "הג'יפ") הנהוג בידי חא</w:t>
      </w:r>
      <w:r>
        <w:rPr>
          <w:rFonts w:hint="cs"/>
          <w:rtl/>
        </w:rPr>
        <w:t xml:space="preserve">לד עווידה ( להלן "המעורב") כשלצידו אביו. </w:t>
      </w:r>
    </w:p>
    <w:p w:rsidR="00000000" w:rsidRDefault="004140F9">
      <w:pPr>
        <w:rPr>
          <w:rFonts w:hint="cs"/>
          <w:rtl/>
        </w:rPr>
      </w:pPr>
    </w:p>
    <w:p w:rsidR="00000000" w:rsidRDefault="004140F9">
      <w:pPr>
        <w:rPr>
          <w:rFonts w:hint="cs"/>
          <w:rtl/>
        </w:rPr>
      </w:pPr>
      <w:r>
        <w:rPr>
          <w:rFonts w:hint="cs"/>
          <w:rtl/>
        </w:rPr>
        <w:t>3.</w:t>
      </w:r>
      <w:r>
        <w:rPr>
          <w:rFonts w:hint="cs"/>
          <w:rtl/>
        </w:rPr>
        <w:tab/>
        <w:t>כתוצאה מכך התנגש השברולט עם צידו הקדמי שמאלי בצידו הקדמי שמאלי של הג'יפ. שני הרכבים הועפו אל שולי הכביש והתנגשו במעקה הבטיחות. כתוצאה מהתאונה הועפה ונהרגה ראשית חובב, אשר לא הייתה חגורה בחגורת בטיחות, נוסעים נו</w:t>
      </w:r>
      <w:r>
        <w:rPr>
          <w:rFonts w:hint="cs"/>
          <w:rtl/>
        </w:rPr>
        <w:t>ספים נפצעו קל בשני הרכבים.</w:t>
      </w:r>
    </w:p>
    <w:p w:rsidR="00000000" w:rsidRDefault="004140F9">
      <w:pPr>
        <w:rPr>
          <w:rFonts w:hint="cs"/>
          <w:rtl/>
        </w:rPr>
      </w:pPr>
    </w:p>
    <w:p w:rsidR="00000000" w:rsidRDefault="004140F9">
      <w:pPr>
        <w:rPr>
          <w:rFonts w:hint="cs"/>
          <w:rtl/>
        </w:rPr>
      </w:pPr>
      <w:r>
        <w:rPr>
          <w:rFonts w:hint="cs"/>
          <w:rtl/>
        </w:rPr>
        <w:t>4.</w:t>
      </w:r>
      <w:r>
        <w:rPr>
          <w:rFonts w:hint="cs"/>
          <w:rtl/>
        </w:rPr>
        <w:tab/>
        <w:t xml:space="preserve">בתחילה הגישה התביעה את כתב אישום כנגד מר עוזיאל חובב בעלה של הנאשמת, אלא שבאחת הישיבות בעניינו, טענו המעורב ואביב, כי ברכב נהגה אישה ולא גבר. לאור הודעה זו, </w:t>
      </w:r>
      <w:r>
        <w:rPr>
          <w:rFonts w:hint="cs"/>
          <w:rtl/>
        </w:rPr>
        <w:lastRenderedPageBreak/>
        <w:t xml:space="preserve">החליטה התביעה לחזור בה מהאישום כנגד עוזיאל חובב והוא זוכה מכל אשמה. </w:t>
      </w:r>
      <w:r>
        <w:rPr>
          <w:rFonts w:hint="cs"/>
          <w:rtl/>
        </w:rPr>
        <w:t xml:space="preserve"> במקביל החליטה התביעה להגיש כתב אישום חדש כנגד אשתו הנאשמת בתיק זה. </w:t>
      </w:r>
    </w:p>
    <w:p w:rsidR="00000000" w:rsidRDefault="004140F9">
      <w:pPr>
        <w:rPr>
          <w:rFonts w:hint="cs"/>
          <w:rtl/>
        </w:rPr>
      </w:pPr>
    </w:p>
    <w:p w:rsidR="00000000" w:rsidRDefault="004140F9">
      <w:pPr>
        <w:rPr>
          <w:rFonts w:hint="cs"/>
          <w:rtl/>
        </w:rPr>
      </w:pPr>
      <w:r>
        <w:rPr>
          <w:rFonts w:hint="cs"/>
          <w:rtl/>
        </w:rPr>
        <w:t>5.</w:t>
      </w:r>
      <w:r>
        <w:rPr>
          <w:rFonts w:hint="cs"/>
          <w:rtl/>
        </w:rPr>
        <w:tab/>
        <w:t>בטרם אפרט את נימוקי, אציין כי ההתנהלות בתיק זה תמוהה עד מאוד ונראה כי לא כך היה צריך לנהלו.  מדובר בתאונת דרכים קשה בה נהרגה ילדה ונפגעו נוסעים נוספים. מן הראוי היה כי התיק ייבדק עד ת</w:t>
      </w:r>
      <w:r>
        <w:rPr>
          <w:rFonts w:hint="cs"/>
          <w:rtl/>
        </w:rPr>
        <w:t xml:space="preserve">ומו בטרם הוגש כתב האישום הראשון ובוודאי לאחריו לאור ההתפתחויות. סופה של התנהלות לקויה זו, הוא בעינוי דין לכל הנוגעים בדבר ובכך שבסופו של יום לא מוצה  הדין עם האחראי לתאונה. </w:t>
      </w:r>
    </w:p>
    <w:p w:rsidR="00000000" w:rsidRDefault="004140F9">
      <w:pPr>
        <w:rPr>
          <w:rFonts w:hint="cs"/>
          <w:rtl/>
        </w:rPr>
      </w:pPr>
    </w:p>
    <w:p w:rsidR="00000000" w:rsidRDefault="004140F9">
      <w:pPr>
        <w:jc w:val="center"/>
        <w:rPr>
          <w:rFonts w:hint="cs"/>
          <w:u w:val="single"/>
          <w:rtl/>
        </w:rPr>
      </w:pPr>
      <w:r>
        <w:rPr>
          <w:rFonts w:hint="cs"/>
          <w:u w:val="single"/>
          <w:rtl/>
        </w:rPr>
        <w:t>שאלת זהות הנהג - האם שירה חובב היא אשר נהגה ברכב בעת התאונה?</w:t>
      </w:r>
    </w:p>
    <w:p w:rsidR="00000000" w:rsidRDefault="004140F9">
      <w:pPr>
        <w:rPr>
          <w:rFonts w:hint="cs"/>
          <w:rtl/>
        </w:rPr>
      </w:pPr>
    </w:p>
    <w:p w:rsidR="00000000" w:rsidRDefault="004140F9">
      <w:pPr>
        <w:rPr>
          <w:rFonts w:hint="cs"/>
          <w:rtl/>
        </w:rPr>
      </w:pPr>
      <w:r>
        <w:rPr>
          <w:rFonts w:hint="cs"/>
          <w:rtl/>
        </w:rPr>
        <w:t>6.</w:t>
      </w:r>
      <w:r>
        <w:rPr>
          <w:rFonts w:hint="cs"/>
          <w:rtl/>
        </w:rPr>
        <w:tab/>
        <w:t>שאלת זהות הנהג כ</w:t>
      </w:r>
      <w:r>
        <w:rPr>
          <w:rFonts w:hint="cs"/>
          <w:rtl/>
        </w:rPr>
        <w:t>פי שציינתי הועלתה לראשונה במהלך דיון ההוכחות שהתנהל כנגד מר חובב. שם טען המעורב לראשונה כי ברכב לא נהג גבר אלא אישה. בעקבות אמירה זו חזרה בה התביעה מכתב האישום כנגד הבעל עוזיאל חובב והגישה אותו כנגד הנאשמת שירה חובב.</w:t>
      </w:r>
    </w:p>
    <w:p w:rsidR="00000000" w:rsidRDefault="004140F9">
      <w:pPr>
        <w:pStyle w:val="a6"/>
        <w:rPr>
          <w:rFonts w:hint="cs"/>
          <w:rtl/>
        </w:rPr>
      </w:pPr>
    </w:p>
    <w:p w:rsidR="00000000" w:rsidRDefault="004140F9">
      <w:pPr>
        <w:pStyle w:val="a6"/>
        <w:jc w:val="center"/>
        <w:rPr>
          <w:rFonts w:hint="cs"/>
          <w:u w:val="single"/>
          <w:rtl/>
        </w:rPr>
      </w:pPr>
      <w:r>
        <w:rPr>
          <w:rFonts w:hint="cs"/>
          <w:u w:val="single"/>
          <w:rtl/>
        </w:rPr>
        <w:t>עדויות התביעה כנגד הנאשמת</w:t>
      </w:r>
    </w:p>
    <w:p w:rsidR="00000000" w:rsidRDefault="004140F9">
      <w:pPr>
        <w:pStyle w:val="a6"/>
        <w:rPr>
          <w:rFonts w:hint="cs"/>
          <w:rtl/>
        </w:rPr>
      </w:pPr>
    </w:p>
    <w:p w:rsidR="00000000" w:rsidRDefault="004140F9">
      <w:pPr>
        <w:pStyle w:val="a6"/>
        <w:rPr>
          <w:rFonts w:hint="cs"/>
          <w:rtl/>
        </w:rPr>
      </w:pPr>
      <w:r>
        <w:rPr>
          <w:rFonts w:hint="cs"/>
          <w:rtl/>
        </w:rPr>
        <w:t>7.</w:t>
      </w:r>
      <w:r>
        <w:rPr>
          <w:rFonts w:hint="cs"/>
          <w:rtl/>
        </w:rPr>
        <w:tab/>
        <w:t>לאחר שהת</w:t>
      </w:r>
      <w:r>
        <w:rPr>
          <w:rFonts w:hint="cs"/>
          <w:rtl/>
        </w:rPr>
        <w:t xml:space="preserve">קיים דיון הוכחות בתיק, מסתבר שכל אשר יש לתביעה כנגד הנאשמת, היא אותה אמרת המעורב כפי שחזר עליה בעדותו בפני. המעורב שב וטען כי מי שנהג ברכב היא אישה בעלת כיסוי ראש.  </w:t>
      </w:r>
      <w:r>
        <w:rPr>
          <w:rFonts w:ascii="Albertus" w:hAnsi="Albertus" w:cs="Aharoni" w:hint="cs"/>
          <w:rtl/>
        </w:rPr>
        <w:t xml:space="preserve"> "אני ראיתי אישה... "</w:t>
      </w:r>
      <w:r>
        <w:rPr>
          <w:rFonts w:hint="cs"/>
          <w:rtl/>
        </w:rPr>
        <w:t xml:space="preserve"> (פרוטוקול ע"מ 6 שורה 5) </w:t>
      </w:r>
      <w:r>
        <w:rPr>
          <w:rFonts w:cs="Aharoni" w:hint="cs"/>
          <w:rtl/>
        </w:rPr>
        <w:t>"היא הייתה עם כובע, לא כובע גדול, אלא מטפחת ש</w:t>
      </w:r>
      <w:r>
        <w:rPr>
          <w:rFonts w:cs="Aharoni" w:hint="cs"/>
          <w:rtl/>
        </w:rPr>
        <w:t>נראת כמו כובע."</w:t>
      </w:r>
      <w:r>
        <w:rPr>
          <w:rFonts w:hint="cs"/>
          <w:rtl/>
        </w:rPr>
        <w:t xml:space="preserve"> (פרוטוקול ע"מ 6 שורה 28).  נציין כי לתביעה היה עוד עד שהיה עם המעורב (אביו) שתמך בגרסתו.  אלא שאביו נפטר לצערנו וכך נותרה גרסת המעורב לבדה.</w:t>
      </w:r>
    </w:p>
    <w:p w:rsidR="00000000" w:rsidRDefault="004140F9">
      <w:pPr>
        <w:rPr>
          <w:rFonts w:hint="cs"/>
          <w:rtl/>
        </w:rPr>
      </w:pPr>
    </w:p>
    <w:p w:rsidR="00000000" w:rsidRDefault="004140F9">
      <w:pPr>
        <w:rPr>
          <w:rFonts w:hint="cs"/>
          <w:rtl/>
        </w:rPr>
      </w:pPr>
      <w:r>
        <w:rPr>
          <w:rFonts w:hint="cs"/>
          <w:rtl/>
        </w:rPr>
        <w:t>8.</w:t>
      </w:r>
      <w:r>
        <w:rPr>
          <w:rFonts w:hint="cs"/>
          <w:rtl/>
        </w:rPr>
        <w:tab/>
        <w:t>אמירה זו היא לבדה אשר הביאה לידי הגשת כתב האישום כנגד הנאשמת. אלא שלא ניתן להתעלם מהעובדה כי אמי</w:t>
      </w:r>
      <w:r>
        <w:rPr>
          <w:rFonts w:hint="cs"/>
          <w:rtl/>
        </w:rPr>
        <w:t>רה זו נאמרה לראשונה בבית המשפט. העד אשר נחקר לאחר התאונה לא ציין ולו פעם אחת בחקירתו כי מי שנהג ברכב היא אישה ולא גבר. באותה הודעה שנגבתה ממנו שעות לאחר התאונה כלל לא ידע לומר מי נהג. למעשה מיום התאונה ועד אותו דיון הוכחות שהתנהל בעניינו של מר חובב לא העלה</w:t>
      </w:r>
      <w:r>
        <w:rPr>
          <w:rFonts w:hint="cs"/>
          <w:rtl/>
        </w:rPr>
        <w:t xml:space="preserve"> טענה זו.</w:t>
      </w:r>
    </w:p>
    <w:p w:rsidR="00000000" w:rsidRDefault="004140F9">
      <w:pPr>
        <w:rPr>
          <w:rFonts w:hint="cs"/>
          <w:rtl/>
        </w:rPr>
      </w:pPr>
    </w:p>
    <w:p w:rsidR="00000000" w:rsidRDefault="004140F9">
      <w:pPr>
        <w:rPr>
          <w:rFonts w:hint="cs"/>
          <w:rtl/>
        </w:rPr>
      </w:pPr>
      <w:r>
        <w:rPr>
          <w:rFonts w:hint="cs"/>
          <w:rtl/>
        </w:rPr>
        <w:t>9.</w:t>
      </w:r>
      <w:r>
        <w:rPr>
          <w:rFonts w:hint="cs"/>
          <w:rtl/>
        </w:rPr>
        <w:tab/>
        <w:t>זאת ועוד, המעורב בעדותו בפני התקשה למסור פרטים אודות התאונה והאירועים הסמוכים לה וטען השקם וערב כי אינו זוכר את הפרטים משום שחלף זמן רב. הפרט היחיד שידע לומר בבירור הוא  כי ברכב נהגה אישה, עובדה זו לבדה מעלה תמיהה.  עדותו של המעורב מעלה סימני</w:t>
      </w:r>
      <w:r>
        <w:rPr>
          <w:rFonts w:hint="cs"/>
          <w:rtl/>
        </w:rPr>
        <w:t xml:space="preserve"> שאלה רבים שאף הוא לא נתן להם מענה. מדוע לא ציין פרט זה מן ההתחלה, מהי אותה חקירה נוספת שלטענתו נחקר אך אין לה כל "זכר" במסמכי התביעה ועוד כהנה וכהנה. </w:t>
      </w:r>
    </w:p>
    <w:p w:rsidR="00000000" w:rsidRDefault="004140F9">
      <w:pPr>
        <w:rPr>
          <w:rFonts w:hint="cs"/>
          <w:rtl/>
        </w:rPr>
      </w:pPr>
    </w:p>
    <w:p w:rsidR="00000000" w:rsidRDefault="004140F9">
      <w:pPr>
        <w:pStyle w:val="5"/>
        <w:rPr>
          <w:rFonts w:hint="cs"/>
          <w:rtl/>
        </w:rPr>
      </w:pPr>
      <w:r>
        <w:rPr>
          <w:rFonts w:hint="cs"/>
          <w:rtl/>
        </w:rPr>
        <w:t>העדויות כי הבעל עוזיאל חובב הוא זה שנהג ברכב</w:t>
      </w:r>
    </w:p>
    <w:p w:rsidR="00000000" w:rsidRDefault="004140F9">
      <w:pPr>
        <w:rPr>
          <w:rFonts w:hint="cs"/>
          <w:rtl/>
        </w:rPr>
      </w:pPr>
    </w:p>
    <w:p w:rsidR="00000000" w:rsidRDefault="004140F9">
      <w:pPr>
        <w:rPr>
          <w:rFonts w:hint="cs"/>
          <w:rtl/>
        </w:rPr>
      </w:pPr>
      <w:r>
        <w:rPr>
          <w:rFonts w:hint="cs"/>
          <w:rtl/>
        </w:rPr>
        <w:t>10.</w:t>
      </w:r>
      <w:r>
        <w:rPr>
          <w:rFonts w:hint="cs"/>
          <w:rtl/>
        </w:rPr>
        <w:tab/>
        <w:t>כנגד עדותו הבעייתית של המעורב העידו בפני מספר עדים אש</w:t>
      </w:r>
      <w:r>
        <w:rPr>
          <w:rFonts w:hint="cs"/>
          <w:rtl/>
        </w:rPr>
        <w:t>ר סותרים את עדותו. תחילה אציין את עדי התביעה אשר היו מעורבים בתיק, עוד "בגלגולו" הקודם.  איש מבין המעורבים לא הטיל ספק כי מי שנהג ברכב הוא מר חובב. השוטרים אשר הגיעו למקום ציינו כי הוא אשר נהג ברכב, אנשי מד"א התייחסו אל נהג ולא אל נהגת. הבוחן שהגיע מאוחר י</w:t>
      </w:r>
      <w:r>
        <w:rPr>
          <w:rFonts w:hint="cs"/>
          <w:rtl/>
        </w:rPr>
        <w:t>ותר למקום התאונה ציין כי הנהג הוא מר חובב ואף הפרקליט שמטפל בתיק לרגע לא חשב אחרת.  קשה להניח כי ניתן לשטות כך בשוטרים ובכל האנשים המגיעים במהירות למקום התאונה.</w:t>
      </w:r>
    </w:p>
    <w:p w:rsidR="00000000" w:rsidRDefault="004140F9">
      <w:pPr>
        <w:rPr>
          <w:rFonts w:hint="cs"/>
          <w:rtl/>
        </w:rPr>
      </w:pPr>
    </w:p>
    <w:p w:rsidR="00000000" w:rsidRDefault="004140F9">
      <w:pPr>
        <w:rPr>
          <w:rFonts w:hint="cs"/>
          <w:rtl/>
        </w:rPr>
      </w:pPr>
      <w:r>
        <w:rPr>
          <w:rFonts w:hint="cs"/>
          <w:rtl/>
        </w:rPr>
        <w:t>11.</w:t>
      </w:r>
      <w:r>
        <w:rPr>
          <w:rFonts w:hint="cs"/>
          <w:rtl/>
        </w:rPr>
        <w:tab/>
        <w:t>בנוסף לעדותו של מר חובב אשר טען לאורך כל הדרך כי הוא אשר נהג ברכב, העידו שני עדים נוספים מ</w:t>
      </w:r>
      <w:r>
        <w:rPr>
          <w:rFonts w:hint="cs"/>
          <w:rtl/>
        </w:rPr>
        <w:t>טעם ההגנה שמחזקים את גרסתו. אומנם עדים אלה לא היו עדים לתאונה, אך הם הגיעו בסמוך לה מאוד  והבחינו בנאשמת כאשר היא יושבת בחלקו האחורי של הרכב יחד עם ילדיה.</w:t>
      </w:r>
    </w:p>
    <w:p w:rsidR="00000000" w:rsidRDefault="004140F9">
      <w:pPr>
        <w:rPr>
          <w:rFonts w:hint="cs"/>
          <w:rtl/>
        </w:rPr>
      </w:pPr>
    </w:p>
    <w:p w:rsidR="00000000" w:rsidRDefault="004140F9">
      <w:pPr>
        <w:rPr>
          <w:rFonts w:hint="cs"/>
          <w:rtl/>
        </w:rPr>
      </w:pPr>
      <w:r>
        <w:rPr>
          <w:rFonts w:hint="cs"/>
          <w:rtl/>
        </w:rPr>
        <w:t>12.</w:t>
      </w:r>
      <w:r>
        <w:rPr>
          <w:rFonts w:hint="cs"/>
          <w:rtl/>
        </w:rPr>
        <w:tab/>
        <w:t xml:space="preserve">עד ההגנה מר אבי שמחוביץ העיד </w:t>
      </w:r>
      <w:r>
        <w:rPr>
          <w:rFonts w:cs="Aharoni" w:hint="cs"/>
          <w:rtl/>
        </w:rPr>
        <w:t>"..אשתו יצאה מהדלת הצדדית עוזי נתן לה יד שתרד.."</w:t>
      </w:r>
      <w:r>
        <w:rPr>
          <w:rFonts w:hint="cs"/>
          <w:rtl/>
        </w:rPr>
        <w:t xml:space="preserve"> (פרוטוקול ע"מ 33 ש</w:t>
      </w:r>
      <w:r>
        <w:rPr>
          <w:rFonts w:hint="cs"/>
          <w:rtl/>
        </w:rPr>
        <w:t xml:space="preserve">ורה 17).  הוא גם העיד כי </w:t>
      </w:r>
      <w:r>
        <w:rPr>
          <w:rFonts w:cs="Aharoni" w:hint="cs"/>
          <w:rtl/>
        </w:rPr>
        <w:t>"מעולם לא ראיתי את שירה נוסעת, אף פעם, לא יודע עם יש לה רישיון.."</w:t>
      </w:r>
      <w:r>
        <w:rPr>
          <w:rFonts w:hint="cs"/>
          <w:rtl/>
        </w:rPr>
        <w:t xml:space="preserve"> (פרוטוקול ע"מ 35 שורה 16).  </w:t>
      </w:r>
    </w:p>
    <w:p w:rsidR="00000000" w:rsidRDefault="004140F9">
      <w:pPr>
        <w:rPr>
          <w:rFonts w:hint="cs"/>
          <w:rtl/>
        </w:rPr>
      </w:pPr>
    </w:p>
    <w:p w:rsidR="00000000" w:rsidRDefault="004140F9">
      <w:pPr>
        <w:rPr>
          <w:rFonts w:hint="cs"/>
          <w:rtl/>
        </w:rPr>
      </w:pPr>
      <w:r>
        <w:rPr>
          <w:rFonts w:hint="cs"/>
          <w:rtl/>
        </w:rPr>
        <w:t>13.</w:t>
      </w:r>
      <w:r>
        <w:rPr>
          <w:rFonts w:hint="cs"/>
          <w:rtl/>
        </w:rPr>
        <w:tab/>
        <w:t xml:space="preserve">עד הגנה נוסף מר יאיר הלוי העיד </w:t>
      </w:r>
      <w:r>
        <w:rPr>
          <w:rFonts w:cs="Aharoni" w:hint="cs"/>
          <w:rtl/>
        </w:rPr>
        <w:t xml:space="preserve">"ראיתי את אשתו ישבה במושב האחורי, לא ישבה בשני המושבים הקדמיים זה אני בטוח. למיטב זכרוני חושב שישבה </w:t>
      </w:r>
      <w:r>
        <w:rPr>
          <w:rFonts w:cs="Aharoni" w:hint="cs"/>
          <w:rtl/>
        </w:rPr>
        <w:t>בין הילדים..."</w:t>
      </w:r>
      <w:r>
        <w:rPr>
          <w:rFonts w:hint="cs"/>
          <w:rtl/>
        </w:rPr>
        <w:t xml:space="preserve"> (פרוטוקול ע"מ 36 שורות 17-18)</w:t>
      </w:r>
    </w:p>
    <w:p w:rsidR="00000000" w:rsidRDefault="004140F9">
      <w:pPr>
        <w:rPr>
          <w:rFonts w:hint="cs"/>
          <w:rtl/>
        </w:rPr>
      </w:pPr>
    </w:p>
    <w:p w:rsidR="00000000" w:rsidRDefault="004140F9">
      <w:pPr>
        <w:rPr>
          <w:rFonts w:hint="cs"/>
          <w:rtl/>
        </w:rPr>
      </w:pPr>
      <w:r>
        <w:rPr>
          <w:rFonts w:hint="cs"/>
          <w:rtl/>
        </w:rPr>
        <w:t>14.</w:t>
      </w:r>
      <w:r>
        <w:rPr>
          <w:rFonts w:hint="cs"/>
          <w:rtl/>
        </w:rPr>
        <w:tab/>
        <w:t>עוד יש לציין את עדותו של ידיד המשפחה מר רוטשילד אריה שנשאל על כך.  "</w:t>
      </w:r>
      <w:r>
        <w:rPr>
          <w:rFonts w:cs="Aharoni" w:hint="cs"/>
          <w:rtl/>
        </w:rPr>
        <w:t>אני הייתי בטוח שזאת בדיחה, הדבר הכי לא הגיוני, מגוחך.  היה ברור לי שתוך כמה שבועות יתברר.  מעולם לא ראיתי את שירה נוהגת.  שהוא היה בצבא הר</w:t>
      </w:r>
      <w:r>
        <w:rPr>
          <w:rFonts w:cs="Aharoni" w:hint="cs"/>
          <w:rtl/>
        </w:rPr>
        <w:t>כב היה בבית והיא לא נהגה עליו, מעולם לא נהגה.... מעולם שירה לא נהגה, זה היה אבסורד "</w:t>
      </w:r>
      <w:r>
        <w:rPr>
          <w:rFonts w:hint="cs"/>
          <w:rtl/>
        </w:rPr>
        <w:t xml:space="preserve"> (פר' עמ' 39 עמ' 26-30)</w:t>
      </w:r>
    </w:p>
    <w:p w:rsidR="00000000" w:rsidRDefault="004140F9">
      <w:pPr>
        <w:rPr>
          <w:rFonts w:hint="cs"/>
          <w:rtl/>
        </w:rPr>
      </w:pPr>
    </w:p>
    <w:p w:rsidR="00000000" w:rsidRDefault="004140F9">
      <w:pPr>
        <w:rPr>
          <w:rFonts w:hint="cs"/>
          <w:rtl/>
        </w:rPr>
      </w:pPr>
      <w:r>
        <w:rPr>
          <w:rFonts w:hint="cs"/>
          <w:rtl/>
        </w:rPr>
        <w:t>15.</w:t>
      </w:r>
      <w:r>
        <w:rPr>
          <w:rFonts w:hint="cs"/>
          <w:rtl/>
        </w:rPr>
        <w:tab/>
        <w:t xml:space="preserve">בהתחשב בנסיבות התאונה הקשה והעובדה שבמהלכה איבדו הנאשמת ובעלה את בתם הקטנה. קשה לי להאמין כי ניסו ל"רקום מזימה" כל שהיא או שמע ניסו לחפות האחד </w:t>
      </w:r>
      <w:r>
        <w:rPr>
          <w:rFonts w:hint="cs"/>
          <w:rtl/>
        </w:rPr>
        <w:t>על השני.  למסקנה זו אני מוצא חיזוק גם בטענתה כי על אף שיש לה רשיון נהיגה היא אינה נוהגת וברכב הספציפי הזה מעולם לא נהגה.  על כך מעיד גם גיליון ההרשעות הנקי שלה.  שמעתי את הנאשמת לפני ואינני סבור שיכולה הייתה לשקר במצח נחושה בעניין זה ולא אוסיף בכך.</w:t>
      </w:r>
    </w:p>
    <w:p w:rsidR="00000000" w:rsidRDefault="004140F9">
      <w:pPr>
        <w:rPr>
          <w:rFonts w:hint="cs"/>
          <w:rtl/>
        </w:rPr>
      </w:pPr>
      <w:r>
        <w:rPr>
          <w:rFonts w:hint="cs"/>
          <w:rtl/>
        </w:rPr>
        <w:t xml:space="preserve"> </w:t>
      </w:r>
    </w:p>
    <w:p w:rsidR="00000000" w:rsidRDefault="004140F9">
      <w:pPr>
        <w:rPr>
          <w:rFonts w:hint="cs"/>
          <w:rtl/>
        </w:rPr>
      </w:pPr>
    </w:p>
    <w:p w:rsidR="00000000" w:rsidRDefault="004140F9">
      <w:pPr>
        <w:rPr>
          <w:rFonts w:hint="cs"/>
          <w:rtl/>
        </w:rPr>
      </w:pPr>
      <w:r>
        <w:rPr>
          <w:rFonts w:hint="cs"/>
          <w:rtl/>
        </w:rPr>
        <w:t>16.</w:t>
      </w:r>
      <w:r>
        <w:rPr>
          <w:rFonts w:hint="cs"/>
          <w:rtl/>
        </w:rPr>
        <w:tab/>
      </w:r>
      <w:r>
        <w:rPr>
          <w:rFonts w:hint="cs"/>
          <w:rtl/>
        </w:rPr>
        <w:t>לכל אלה, ניתן להוסיף את ניסיון החיים המלמד כי כאשר משפחה ובוודאי כאשר מדובר בילדים קטנים נוסעת יחד, בד"כ  ינהג האב ואילו האם תשב מאחור עם הילדים.  ברכב נסעו חמשת ילדי הנאשמת ובניהם תינוק שזקוק היה לאימו לידו.  סביר הרבה יותר שישבה בסמוך לו מאשר שנהגה ברכב.</w:t>
      </w:r>
      <w:r>
        <w:rPr>
          <w:rFonts w:hint="cs"/>
          <w:rtl/>
        </w:rPr>
        <w:t xml:space="preserve"> </w:t>
      </w:r>
    </w:p>
    <w:p w:rsidR="00000000" w:rsidRDefault="004140F9">
      <w:pPr>
        <w:rPr>
          <w:rFonts w:hint="cs"/>
          <w:rtl/>
        </w:rPr>
      </w:pPr>
    </w:p>
    <w:p w:rsidR="00000000" w:rsidRDefault="004140F9">
      <w:pPr>
        <w:pStyle w:val="6"/>
        <w:rPr>
          <w:rFonts w:hint="cs"/>
          <w:rtl/>
        </w:rPr>
      </w:pPr>
      <w:r>
        <w:rPr>
          <w:rFonts w:hint="cs"/>
          <w:rtl/>
        </w:rPr>
        <w:t>הסיבות לטעותם של המעורבים</w:t>
      </w:r>
    </w:p>
    <w:p w:rsidR="00000000" w:rsidRDefault="004140F9">
      <w:pPr>
        <w:rPr>
          <w:rFonts w:hint="cs"/>
          <w:rtl/>
        </w:rPr>
      </w:pPr>
    </w:p>
    <w:p w:rsidR="00000000" w:rsidRDefault="004140F9">
      <w:pPr>
        <w:rPr>
          <w:rFonts w:hint="cs"/>
          <w:rtl/>
        </w:rPr>
      </w:pPr>
      <w:r>
        <w:rPr>
          <w:rFonts w:hint="cs"/>
          <w:rtl/>
        </w:rPr>
        <w:t>17.</w:t>
      </w:r>
      <w:r>
        <w:rPr>
          <w:rFonts w:hint="cs"/>
          <w:rtl/>
        </w:rPr>
        <w:tab/>
        <w:t xml:space="preserve">אציין כי אין לי כל סיבה להניח שהמעורבים רצו להטעות את בית המשפט. מדוע שידבקו בטענה זו אם אינם סבורים שכך היה?  אלא שניסיון החיים בכלל ושל בית משפט זה בפרט מעיד כי פעמים רבות העדים אינם מפרשים נכונה את שראו עיניהם.  </w:t>
      </w:r>
    </w:p>
    <w:p w:rsidR="00000000" w:rsidRDefault="004140F9">
      <w:pPr>
        <w:rPr>
          <w:rFonts w:hint="cs"/>
          <w:rtl/>
        </w:rPr>
      </w:pPr>
    </w:p>
    <w:p w:rsidR="00000000" w:rsidRDefault="004140F9">
      <w:pPr>
        <w:rPr>
          <w:rFonts w:hint="cs"/>
          <w:rtl/>
        </w:rPr>
      </w:pPr>
      <w:r>
        <w:rPr>
          <w:rFonts w:hint="cs"/>
          <w:rtl/>
        </w:rPr>
        <w:t>18.</w:t>
      </w:r>
      <w:r>
        <w:rPr>
          <w:rFonts w:hint="cs"/>
          <w:rtl/>
        </w:rPr>
        <w:tab/>
        <w:t>ב</w:t>
      </w:r>
      <w:r>
        <w:rPr>
          <w:rFonts w:hint="cs"/>
          <w:rtl/>
        </w:rPr>
        <w:t>מיוחד נכון הדבר במקרים של תאונות דרכים.  מדובר במאורעות שאירעו בהרף עיין, וללא שמי מהמעורבים נתן לבו למתרחש לפני שאירע.  מותב זה שמע טענות רבות מאנשים הגונים אשר היו משוכנעים כי פירשו נכונה את שראו ולא היא.</w:t>
      </w:r>
    </w:p>
    <w:p w:rsidR="00000000" w:rsidRDefault="004140F9">
      <w:pPr>
        <w:rPr>
          <w:rFonts w:hint="cs"/>
          <w:rtl/>
        </w:rPr>
      </w:pPr>
    </w:p>
    <w:p w:rsidR="00000000" w:rsidRDefault="004140F9">
      <w:pPr>
        <w:rPr>
          <w:rFonts w:hint="cs"/>
          <w:rtl/>
        </w:rPr>
      </w:pPr>
      <w:r>
        <w:rPr>
          <w:rFonts w:hint="cs"/>
          <w:rtl/>
        </w:rPr>
        <w:t>19.</w:t>
      </w:r>
      <w:r>
        <w:rPr>
          <w:rFonts w:hint="cs"/>
          <w:rtl/>
        </w:rPr>
        <w:tab/>
        <w:t>ייתכן כי האב התכופף קימעה וכי העדים שמו לב ל</w:t>
      </w:r>
      <w:r>
        <w:rPr>
          <w:rFonts w:hint="cs"/>
          <w:rtl/>
        </w:rPr>
        <w:t xml:space="preserve">שביסה של הנאשמת, וזה משך את עיניהם עד שהוטעו לחשוב כי היא הנהגת. ניתן גם להעלות השארות רבות נוספות אך אין בכך טעם.   </w:t>
      </w:r>
    </w:p>
    <w:p w:rsidR="00000000" w:rsidRDefault="004140F9">
      <w:pPr>
        <w:rPr>
          <w:rFonts w:hint="cs"/>
          <w:rtl/>
        </w:rPr>
      </w:pPr>
    </w:p>
    <w:p w:rsidR="00000000" w:rsidRDefault="004140F9">
      <w:pPr>
        <w:rPr>
          <w:rFonts w:hint="cs"/>
          <w:rtl/>
        </w:rPr>
      </w:pPr>
      <w:r>
        <w:rPr>
          <w:rFonts w:hint="cs"/>
          <w:rtl/>
        </w:rPr>
        <w:t>20.</w:t>
      </w:r>
      <w:r>
        <w:rPr>
          <w:rFonts w:hint="cs"/>
          <w:rtl/>
        </w:rPr>
        <w:tab/>
        <w:t xml:space="preserve">לסיכום עניין זה ניתן לומר כי עדותו של המעורב אשר הגיעה באיחור מתקשה לעמוד כנגד רצף העדויות בתיק. החל מהגורמים השונים שטפלו בו (משטרה </w:t>
      </w:r>
      <w:r>
        <w:rPr>
          <w:rFonts w:hint="cs"/>
          <w:rtl/>
        </w:rPr>
        <w:t>ופרקליטות) וכלה בעדי ההגנה שהובאו בפני. כאשר אני מעמיד עדות זו אל מול העדויות האחרות אין לי אלא לקבל את טענת הנאשמת כי לא היא נהגה ברכב אלא בעלה.</w:t>
      </w:r>
    </w:p>
    <w:p w:rsidR="00000000" w:rsidRDefault="004140F9">
      <w:pPr>
        <w:pStyle w:val="2"/>
        <w:rPr>
          <w:rFonts w:hint="cs"/>
          <w:b w:val="0"/>
          <w:bCs w:val="0"/>
          <w:szCs w:val="24"/>
          <w:rtl/>
        </w:rPr>
      </w:pPr>
      <w:r>
        <w:rPr>
          <w:rFonts w:hint="cs"/>
          <w:b w:val="0"/>
          <w:bCs w:val="0"/>
          <w:szCs w:val="24"/>
          <w:rtl/>
        </w:rPr>
        <w:t>נסיבות התאונה  ואי הצורך להכנס לכך</w:t>
      </w:r>
    </w:p>
    <w:p w:rsidR="00000000" w:rsidRDefault="004140F9">
      <w:pPr>
        <w:rPr>
          <w:rFonts w:hint="cs"/>
          <w:rtl/>
        </w:rPr>
      </w:pPr>
    </w:p>
    <w:p w:rsidR="00000000" w:rsidRDefault="004140F9">
      <w:pPr>
        <w:rPr>
          <w:rFonts w:hint="cs"/>
          <w:rtl/>
        </w:rPr>
      </w:pPr>
      <w:r>
        <w:rPr>
          <w:rFonts w:hint="cs"/>
          <w:rtl/>
        </w:rPr>
        <w:t>21.</w:t>
      </w:r>
      <w:r>
        <w:rPr>
          <w:rFonts w:hint="cs"/>
          <w:rtl/>
        </w:rPr>
        <w:tab/>
        <w:t>בתאונה שלפנינו ישנן להגנה ולתביעה טענות שונות מי אחראי לתאונה. אלא שלא</w:t>
      </w:r>
      <w:r>
        <w:rPr>
          <w:rFonts w:hint="cs"/>
          <w:rtl/>
        </w:rPr>
        <w:t>ור המסקנה כי לא הנאשמת היא שנהגה ברכב איננו נדרשים לקבוע מסמרות בעניין זה. בכל זאת, נתייחס לכך בקצרה ויש לומר כי גרסת התביעה היא הגרסה המקובלת עלי.</w:t>
      </w:r>
    </w:p>
    <w:p w:rsidR="00000000" w:rsidRDefault="004140F9">
      <w:pPr>
        <w:rPr>
          <w:rFonts w:hint="cs"/>
          <w:rtl/>
        </w:rPr>
      </w:pPr>
    </w:p>
    <w:p w:rsidR="00000000" w:rsidRDefault="004140F9">
      <w:pPr>
        <w:rPr>
          <w:rFonts w:hint="cs"/>
          <w:rtl/>
        </w:rPr>
      </w:pPr>
      <w:r>
        <w:rPr>
          <w:rFonts w:hint="cs"/>
          <w:rtl/>
        </w:rPr>
        <w:t>22.</w:t>
      </w:r>
      <w:r>
        <w:rPr>
          <w:rFonts w:hint="cs"/>
          <w:rtl/>
        </w:rPr>
        <w:tab/>
        <w:t>מסקנה זו נסמכת על שלוש נקודות.</w:t>
      </w:r>
    </w:p>
    <w:p w:rsidR="00000000" w:rsidRDefault="004140F9">
      <w:pPr>
        <w:rPr>
          <w:rFonts w:hint="cs"/>
          <w:rtl/>
        </w:rPr>
      </w:pPr>
    </w:p>
    <w:p w:rsidR="00000000" w:rsidRDefault="004140F9">
      <w:pPr>
        <w:rPr>
          <w:rFonts w:hint="cs"/>
          <w:rtl/>
        </w:rPr>
      </w:pPr>
      <w:r>
        <w:rPr>
          <w:rFonts w:hint="cs"/>
          <w:rtl/>
        </w:rPr>
        <w:t>-</w:t>
      </w:r>
      <w:r>
        <w:rPr>
          <w:rFonts w:hint="cs"/>
          <w:rtl/>
        </w:rPr>
        <w:tab/>
        <w:t>העובדה שכל השרידים והשברים של הרכבים נמצאו בנתיב נסיעת הג'יפ. עובדה ז</w:t>
      </w:r>
      <w:r>
        <w:rPr>
          <w:rFonts w:hint="cs"/>
          <w:rtl/>
        </w:rPr>
        <w:t xml:space="preserve">ו מחזקת את המסקנה כי נקודת האימפקט התרחשה בנתיב בו נסע הג'יפ ולא בנתיב השברולט כפי שנטען על ידי ההגנה. </w:t>
      </w:r>
    </w:p>
    <w:p w:rsidR="00000000" w:rsidRDefault="004140F9">
      <w:pPr>
        <w:rPr>
          <w:rFonts w:hint="cs"/>
          <w:rtl/>
        </w:rPr>
      </w:pPr>
      <w:r>
        <w:rPr>
          <w:rFonts w:hint="cs"/>
          <w:rtl/>
        </w:rPr>
        <w:t>-</w:t>
      </w:r>
      <w:r>
        <w:rPr>
          <w:rFonts w:hint="cs"/>
          <w:rtl/>
        </w:rPr>
        <w:tab/>
        <w:t>לאור העדויות שהציגה התביעה אני סבור כי סימני הבלימה שטען להם ב"כ הנאשמת בהסתמך על חוות דעתו של המומחה עוזי רז, נגרמו לאחר התאונה על ידי הגרר ולא על יד</w:t>
      </w:r>
      <w:r>
        <w:rPr>
          <w:rFonts w:hint="cs"/>
          <w:rtl/>
        </w:rPr>
        <w:t xml:space="preserve">י הרכבים המעורבים בתאונה. </w:t>
      </w:r>
    </w:p>
    <w:p w:rsidR="00000000" w:rsidRDefault="004140F9">
      <w:pPr>
        <w:rPr>
          <w:rFonts w:hint="cs"/>
          <w:rtl/>
        </w:rPr>
      </w:pPr>
      <w:r>
        <w:rPr>
          <w:rFonts w:hint="cs"/>
          <w:rtl/>
        </w:rPr>
        <w:t>-</w:t>
      </w:r>
      <w:r>
        <w:rPr>
          <w:rFonts w:hint="cs"/>
          <w:rtl/>
        </w:rPr>
        <w:tab/>
        <w:t>קשה לי לקבל את גרסת ההגנה לדרך בה התנגשו הרכבים ונהדפו אל מעקות הבטיחות. נראה לי כי גרסה זו בעייתית מבחינה טכנית ואיננה כלל אפשרית.</w:t>
      </w:r>
    </w:p>
    <w:p w:rsidR="00000000" w:rsidRDefault="004140F9">
      <w:pPr>
        <w:rPr>
          <w:rFonts w:hint="cs"/>
          <w:rtl/>
        </w:rPr>
      </w:pPr>
    </w:p>
    <w:p w:rsidR="00000000" w:rsidRDefault="004140F9">
      <w:pPr>
        <w:rPr>
          <w:rFonts w:hint="cs"/>
          <w:rtl/>
        </w:rPr>
      </w:pPr>
      <w:r>
        <w:rPr>
          <w:rFonts w:hint="cs"/>
          <w:rtl/>
        </w:rPr>
        <w:t>אך כפי שציינתי איני נדרש להכריע סופית בשאלה, ואין טעם להיכנס בפרוטרוט לעניין זה.</w:t>
      </w:r>
    </w:p>
    <w:p w:rsidR="00000000" w:rsidRDefault="004140F9">
      <w:pPr>
        <w:rPr>
          <w:rFonts w:hint="cs"/>
          <w:rtl/>
        </w:rPr>
      </w:pPr>
    </w:p>
    <w:p w:rsidR="00000000" w:rsidRDefault="004140F9">
      <w:pPr>
        <w:pStyle w:val="7"/>
        <w:rPr>
          <w:rFonts w:hint="cs"/>
          <w:rtl/>
        </w:rPr>
      </w:pPr>
      <w:r>
        <w:rPr>
          <w:rFonts w:hint="cs"/>
          <w:rtl/>
        </w:rPr>
        <w:t>סוף דבר</w:t>
      </w:r>
    </w:p>
    <w:p w:rsidR="00000000" w:rsidRDefault="004140F9">
      <w:pPr>
        <w:rPr>
          <w:rFonts w:hint="cs"/>
          <w:rtl/>
        </w:rPr>
      </w:pPr>
    </w:p>
    <w:p w:rsidR="00000000" w:rsidRDefault="004140F9">
      <w:pPr>
        <w:rPr>
          <w:rFonts w:hint="cs"/>
          <w:rtl/>
        </w:rPr>
      </w:pPr>
      <w:r>
        <w:rPr>
          <w:rFonts w:hint="cs"/>
          <w:rtl/>
        </w:rPr>
        <w:t>23.</w:t>
      </w:r>
      <w:r>
        <w:rPr>
          <w:rFonts w:hint="cs"/>
          <w:rtl/>
        </w:rPr>
        <w:tab/>
        <w:t>צר לי על כך שהליך זה התנהל כפי שנוהל וקשה להיות שבע רצון מתוצאותיו.  על אף שעסקינן בתאונה קשה בה קופחו חיי אדם איש לא נשא באחריות למחדליו, ולא אוסיף בכך.</w:t>
      </w:r>
    </w:p>
    <w:p w:rsidR="00000000" w:rsidRDefault="004140F9">
      <w:pPr>
        <w:rPr>
          <w:rFonts w:hint="cs"/>
          <w:rtl/>
        </w:rPr>
      </w:pPr>
    </w:p>
    <w:p w:rsidR="00000000" w:rsidRDefault="004140F9">
      <w:pPr>
        <w:rPr>
          <w:rFonts w:hint="cs"/>
          <w:u w:val="single"/>
          <w:rtl/>
        </w:rPr>
      </w:pPr>
      <w:r>
        <w:rPr>
          <w:rFonts w:hint="cs"/>
          <w:u w:val="single"/>
          <w:rtl/>
        </w:rPr>
        <w:t>הנאשמת זכאית.</w:t>
      </w:r>
    </w:p>
    <w:p w:rsidR="00000000" w:rsidRDefault="004140F9">
      <w:pPr>
        <w:rPr>
          <w:rFonts w:hint="cs"/>
          <w:rtl/>
        </w:rPr>
      </w:pPr>
    </w:p>
    <w:p w:rsidR="00000000" w:rsidRDefault="004140F9">
      <w:pPr>
        <w:rPr>
          <w:rFonts w:hint="cs"/>
          <w:rtl/>
        </w:rPr>
      </w:pPr>
      <w:r>
        <w:rPr>
          <w:rFonts w:hint="cs"/>
          <w:rtl/>
        </w:rPr>
        <w:t>מועד הדיון שנקבע ביום 12.11.2007 בטל בזאת.</w:t>
      </w:r>
    </w:p>
    <w:p w:rsidR="00000000" w:rsidRDefault="004140F9">
      <w:pPr>
        <w:rPr>
          <w:rFonts w:hint="cs"/>
          <w:color w:val="FFFFFF"/>
          <w:sz w:val="2"/>
          <w:szCs w:val="2"/>
          <w:rtl/>
        </w:rPr>
      </w:pPr>
    </w:p>
    <w:p w:rsidR="00000000" w:rsidRDefault="004140F9">
      <w:pPr>
        <w:rPr>
          <w:color w:val="FFFFFF"/>
          <w:sz w:val="2"/>
          <w:szCs w:val="2"/>
          <w:rtl/>
        </w:rPr>
      </w:pPr>
      <w:r>
        <w:rPr>
          <w:color w:val="FFFFFF"/>
          <w:sz w:val="2"/>
          <w:szCs w:val="2"/>
          <w:rtl/>
        </w:rPr>
        <w:t>5129371</w:t>
      </w:r>
    </w:p>
    <w:p w:rsidR="00000000" w:rsidRDefault="004140F9">
      <w:pPr>
        <w:rPr>
          <w:rFonts w:hint="cs"/>
          <w:rtl/>
        </w:rPr>
      </w:pPr>
      <w:r>
        <w:rPr>
          <w:color w:val="FFFFFF"/>
          <w:sz w:val="2"/>
          <w:szCs w:val="2"/>
          <w:rtl/>
        </w:rPr>
        <w:t>54678313</w:t>
      </w:r>
    </w:p>
    <w:p w:rsidR="00000000" w:rsidRDefault="004140F9">
      <w:pPr>
        <w:rPr>
          <w:rFonts w:hint="cs"/>
          <w:rtl/>
        </w:rPr>
      </w:pPr>
      <w:r>
        <w:rPr>
          <w:rFonts w:hint="cs"/>
          <w:rtl/>
        </w:rPr>
        <w:t>המזכירות תשלח העתק הכרעת</w:t>
      </w:r>
      <w:r>
        <w:rPr>
          <w:rFonts w:hint="cs"/>
          <w:rtl/>
        </w:rPr>
        <w:t xml:space="preserve"> הדין לצדדים בפקס ובדואר.</w:t>
      </w:r>
    </w:p>
    <w:p w:rsidR="00000000" w:rsidRDefault="004140F9">
      <w:pPr>
        <w:rPr>
          <w:rFonts w:hint="cs"/>
          <w:rtl/>
        </w:rPr>
      </w:pPr>
    </w:p>
    <w:p w:rsidR="00000000" w:rsidRDefault="004140F9">
      <w:pPr>
        <w:rPr>
          <w:rFonts w:hint="cs"/>
          <w:color w:val="FFFFFF"/>
          <w:sz w:val="2"/>
          <w:szCs w:val="2"/>
          <w:rtl/>
        </w:rPr>
      </w:pPr>
    </w:p>
    <w:p w:rsidR="00000000" w:rsidRDefault="004140F9">
      <w:pPr>
        <w:rPr>
          <w:color w:val="FFFFFF"/>
          <w:sz w:val="2"/>
          <w:szCs w:val="2"/>
          <w:rtl/>
        </w:rPr>
      </w:pPr>
      <w:r>
        <w:rPr>
          <w:color w:val="FFFFFF"/>
          <w:sz w:val="2"/>
          <w:szCs w:val="2"/>
          <w:rtl/>
        </w:rPr>
        <w:t>5129371</w:t>
      </w:r>
    </w:p>
    <w:p w:rsidR="00000000" w:rsidRDefault="004140F9">
      <w:pPr>
        <w:rPr>
          <w:rFonts w:hint="cs"/>
          <w:rtl/>
        </w:rPr>
      </w:pPr>
      <w:r>
        <w:rPr>
          <w:color w:val="FFFFFF"/>
          <w:sz w:val="2"/>
          <w:szCs w:val="2"/>
          <w:rtl/>
        </w:rPr>
        <w:t>54678313</w:t>
      </w:r>
      <w:r>
        <w:rPr>
          <w:rFonts w:hint="cs"/>
          <w:rtl/>
        </w:rPr>
        <w:t>זכות ערעור לבית המשפט המחוזי תוך 45 יום מהיום.</w:t>
      </w:r>
    </w:p>
    <w:p w:rsidR="00000000" w:rsidRDefault="004140F9">
      <w:pPr>
        <w:rPr>
          <w:rFonts w:hint="cs"/>
          <w:color w:val="FFFFFF"/>
          <w:sz w:val="2"/>
          <w:szCs w:val="2"/>
          <w:rtl/>
        </w:rPr>
      </w:pPr>
    </w:p>
    <w:p w:rsidR="00000000" w:rsidRDefault="004140F9">
      <w:pPr>
        <w:rPr>
          <w:color w:val="FFFFFF"/>
          <w:sz w:val="2"/>
          <w:szCs w:val="2"/>
          <w:rtl/>
        </w:rPr>
      </w:pPr>
      <w:r>
        <w:rPr>
          <w:color w:val="FFFFFF"/>
          <w:sz w:val="2"/>
          <w:szCs w:val="2"/>
          <w:rtl/>
        </w:rPr>
        <w:t>5129371</w:t>
      </w:r>
    </w:p>
    <w:p w:rsidR="00000000" w:rsidRDefault="004140F9">
      <w:pPr>
        <w:rPr>
          <w:rFonts w:hint="cs"/>
          <w:rtl/>
        </w:rPr>
      </w:pPr>
      <w:r>
        <w:rPr>
          <w:color w:val="FFFFFF"/>
          <w:sz w:val="2"/>
          <w:szCs w:val="2"/>
          <w:rtl/>
        </w:rPr>
        <w:t>54678313</w:t>
      </w:r>
    </w:p>
    <w:p w:rsidR="00000000" w:rsidRDefault="004140F9">
      <w:pPr>
        <w:spacing w:line="240" w:lineRule="auto"/>
        <w:rPr>
          <w:rFonts w:hint="cs"/>
          <w:rtl/>
        </w:rPr>
      </w:pPr>
      <w:r>
        <w:rPr>
          <w:rtl/>
        </w:rPr>
        <w:t xml:space="preserve">ניתן בלשכתי בהעדר הצדדים ובהסכמתם היום יום רביעי 07 נובמבר 2007. </w:t>
      </w:r>
    </w:p>
    <w:p w:rsidR="00000000" w:rsidRDefault="004140F9">
      <w:pPr>
        <w:spacing w:line="240" w:lineRule="auto"/>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אברהם נ. טננבוים</w:t>
      </w:r>
    </w:p>
    <w:p w:rsidR="00000000" w:rsidRDefault="004140F9">
      <w:pPr>
        <w:keepNext/>
        <w:spacing w:line="240" w:lineRule="auto"/>
        <w:jc w:val="left"/>
        <w:rPr>
          <w:rFonts w:hAnsi="David" w:hint="cs"/>
          <w:color w:val="000000"/>
          <w:sz w:val="22"/>
          <w:szCs w:val="22"/>
          <w:rtl/>
        </w:rPr>
      </w:pPr>
    </w:p>
    <w:p w:rsidR="00000000" w:rsidRDefault="004140F9">
      <w:pPr>
        <w:keepNext/>
        <w:spacing w:line="240" w:lineRule="auto"/>
        <w:jc w:val="left"/>
        <w:rPr>
          <w:rFonts w:hAnsi="David" w:hint="cs"/>
          <w:color w:val="000000"/>
          <w:sz w:val="22"/>
          <w:szCs w:val="22"/>
          <w:rtl/>
        </w:rPr>
      </w:pPr>
    </w:p>
    <w:p w:rsidR="00000000" w:rsidRDefault="004140F9">
      <w:pPr>
        <w:keepNext/>
        <w:spacing w:line="240" w:lineRule="auto"/>
        <w:jc w:val="left"/>
        <w:rPr>
          <w:rFonts w:hAnsi="David" w:hint="cs"/>
          <w:color w:val="000000"/>
          <w:sz w:val="22"/>
          <w:szCs w:val="22"/>
          <w:rtl/>
        </w:rPr>
      </w:pPr>
    </w:p>
    <w:p w:rsidR="00000000" w:rsidRDefault="004140F9">
      <w:pPr>
        <w:keepNext/>
        <w:spacing w:line="240" w:lineRule="auto"/>
        <w:jc w:val="left"/>
        <w:rPr>
          <w:rFonts w:hAnsi="David"/>
          <w:color w:val="000000"/>
          <w:sz w:val="22"/>
          <w:szCs w:val="22"/>
          <w:rtl/>
        </w:rPr>
      </w:pPr>
      <w:r>
        <w:rPr>
          <w:rFonts w:hAnsi="David"/>
          <w:color w:val="000000"/>
          <w:sz w:val="22"/>
          <w:szCs w:val="22"/>
          <w:rtl/>
        </w:rPr>
        <w:t>אברהם טננבוים 54678313-2971/06</w:t>
      </w:r>
    </w:p>
    <w:p w:rsidR="00000000" w:rsidRDefault="004140F9">
      <w:pPr>
        <w:spacing w:line="240" w:lineRule="auto"/>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שופט תעבו</w:t>
      </w:r>
      <w:r>
        <w:rPr>
          <w:rFonts w:hint="cs"/>
          <w:rtl/>
        </w:rPr>
        <w:t>רה</w:t>
      </w:r>
    </w:p>
    <w:p w:rsidR="00000000" w:rsidRDefault="004140F9">
      <w:pPr>
        <w:jc w:val="left"/>
        <w:rPr>
          <w:color w:val="000000"/>
          <w:rtl/>
        </w:rPr>
      </w:pPr>
      <w:r>
        <w:rPr>
          <w:color w:val="000000"/>
          <w:rtl/>
        </w:rPr>
        <w:t>נוסח מסמך זה כפוף לשינויי ניסוח ועריכה</w:t>
      </w:r>
    </w:p>
    <w:sectPr w:rsidR="00000000">
      <w:headerReference w:type="even" r:id="rId6"/>
      <w:headerReference w:type="default" r:id="rId7"/>
      <w:footerReference w:type="even" r:id="rId8"/>
      <w:footerReference w:type="default" r:id="rId9"/>
      <w:endnotePr>
        <w:numFmt w:val="lowerLetter"/>
      </w:endnotePr>
      <w:pgSz w:w="12240" w:h="15840"/>
      <w:pgMar w:top="1701"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140F9">
      <w:pPr>
        <w:spacing w:line="240" w:lineRule="auto"/>
      </w:pPr>
      <w:r>
        <w:separator/>
      </w:r>
    </w:p>
  </w:endnote>
  <w:endnote w:type="continuationSeparator" w:id="1">
    <w:p w:rsidR="00000000" w:rsidRDefault="004140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Albertus">
    <w:panose1 w:val="00000000000000000000"/>
    <w:charset w:val="00"/>
    <w:family w:val="roman"/>
    <w:notTrueType/>
    <w:pitch w:val="default"/>
    <w:sig w:usb0="00000000" w:usb1="00000000" w:usb2="00000000" w:usb3="00000000" w:csb0="00000000" w:csb1="00000000"/>
  </w:font>
  <w:font w:name="Aharoni">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TopType Jerushalm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40F9">
    <w:pPr>
      <w:pStyle w:val="a4"/>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Pr>
        <w:rFonts w:hAnsi="FrankRuehl" w:cs="FrankRuehl"/>
        <w:sz w:val="24"/>
        <w:rtl/>
      </w:rPr>
      <w:t>5</w:t>
    </w:r>
    <w:r>
      <w:rPr>
        <w:rFonts w:hAnsi="FrankRuehl" w:cs="FrankRuehl"/>
        <w:sz w:val="24"/>
        <w:rtl/>
      </w:rPr>
      <w:fldChar w:fldCharType="end"/>
    </w:r>
  </w:p>
  <w:p w:rsidR="00000000" w:rsidRDefault="004140F9">
    <w:pPr>
      <w:pStyle w:val="a4"/>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w:t>
    </w:r>
    <w:r>
      <w:rPr>
        <w:rFonts w:cs="TopType Jerushalmi"/>
        <w:color w:val="000000"/>
        <w:sz w:val="28"/>
        <w:szCs w:val="22"/>
        <w:rtl/>
      </w:rPr>
      <w:t>י</w:t>
    </w:r>
  </w:p>
  <w:p w:rsidR="00000000" w:rsidRDefault="004140F9">
    <w:pPr>
      <w:pStyle w:val="a4"/>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Pr>
          <w:rFonts w:cs="TopType Jerushalmi"/>
          <w:color w:val="000000"/>
          <w:sz w:val="14"/>
          <w:szCs w:val="14"/>
        </w:rPr>
        <w:t>C:\nevo\nevo\2007-11-07 - orly\st06002971-277.doc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40F9">
    <w:pPr>
      <w:pStyle w:val="a4"/>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Pr>
        <w:rFonts w:hAnsi="FrankRuehl" w:cs="FrankRuehl"/>
        <w:noProof/>
        <w:sz w:val="24"/>
        <w:rtl/>
      </w:rPr>
      <w:t>1</w:t>
    </w:r>
    <w:r>
      <w:rPr>
        <w:rFonts w:hAnsi="FrankRuehl" w:cs="FrankRuehl"/>
        <w:sz w:val="24"/>
        <w:rtl/>
      </w:rPr>
      <w:fldChar w:fldCharType="end"/>
    </w:r>
  </w:p>
  <w:p w:rsidR="00000000" w:rsidRDefault="004140F9">
    <w:pPr>
      <w:pStyle w:val="a4"/>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000000" w:rsidRDefault="004140F9">
    <w:pPr>
      <w:pStyle w:val="a4"/>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Pr>
          <w:rFonts w:cs="TopType Jerushalmi"/>
          <w:color w:val="000000"/>
          <w:sz w:val="14"/>
          <w:szCs w:val="14"/>
        </w:rPr>
        <w:t>C:\nevo\nevo\2007-11-07 - orly\st06002971-277.doc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140F9">
      <w:pPr>
        <w:spacing w:line="240" w:lineRule="auto"/>
      </w:pPr>
      <w:r>
        <w:separator/>
      </w:r>
    </w:p>
  </w:footnote>
  <w:footnote w:type="continuationSeparator" w:id="1">
    <w:p w:rsidR="00000000" w:rsidRDefault="004140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40F9">
    <w:pPr>
      <w:pStyle w:val="a3"/>
      <w:pBdr>
        <w:bottom w:val="single" w:sz="4" w:space="1" w:color="auto"/>
      </w:pBdr>
      <w:tabs>
        <w:tab w:val="clear" w:pos="4153"/>
        <w:tab w:val="clear" w:pos="8306"/>
        <w:tab w:val="right" w:pos="8311"/>
      </w:tabs>
      <w:spacing w:line="220" w:lineRule="exact"/>
      <w:jc w:val="left"/>
      <w:rPr>
        <w:rFonts w:hAnsi="David"/>
        <w:color w:val="000000"/>
        <w:sz w:val="22"/>
        <w:szCs w:val="22"/>
        <w:rtl/>
      </w:rPr>
    </w:pPr>
    <w:r>
      <w:rPr>
        <w:rFonts w:hAnsi="David"/>
        <w:color w:val="000000"/>
        <w:sz w:val="22"/>
        <w:szCs w:val="22"/>
        <w:rtl/>
      </w:rPr>
      <w:t>תד (י-ם) 2971/06</w:t>
    </w:r>
    <w:r>
      <w:rPr>
        <w:rFonts w:hAnsi="David"/>
        <w:color w:val="000000"/>
        <w:sz w:val="22"/>
        <w:szCs w:val="22"/>
        <w:rtl/>
      </w:rPr>
      <w:tab/>
      <w:t xml:space="preserve"> מדינת ישראל - לשכת תביעות את"ן י-ם נ' חובב שירה</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40F9">
    <w:pPr>
      <w:pStyle w:val="a3"/>
      <w:pBdr>
        <w:bottom w:val="single" w:sz="4" w:space="1" w:color="auto"/>
      </w:pBdr>
      <w:tabs>
        <w:tab w:val="clear" w:pos="4153"/>
        <w:tab w:val="clear" w:pos="8306"/>
        <w:tab w:val="right" w:pos="8311"/>
      </w:tabs>
      <w:spacing w:line="220" w:lineRule="exact"/>
      <w:jc w:val="left"/>
      <w:rPr>
        <w:rFonts w:hAnsi="David"/>
        <w:color w:val="000000"/>
        <w:sz w:val="22"/>
        <w:szCs w:val="22"/>
        <w:rtl/>
      </w:rPr>
    </w:pPr>
    <w:r>
      <w:rPr>
        <w:rFonts w:hAnsi="David"/>
        <w:color w:val="000000"/>
        <w:sz w:val="22"/>
        <w:szCs w:val="22"/>
        <w:rtl/>
      </w:rPr>
      <w:t>תד (י-ם) 2971/06</w:t>
    </w:r>
    <w:r>
      <w:rPr>
        <w:rFonts w:hAnsi="David"/>
        <w:color w:val="000000"/>
        <w:sz w:val="22"/>
        <w:szCs w:val="22"/>
        <w:rtl/>
      </w:rPr>
      <w:tab/>
      <w:t xml:space="preserve"> מדינת ישראל - לשכת תביעות את"ן י-ם נ' חובב שירה</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0"/>
    <w:footnote w:id="1"/>
  </w:footnotePr>
  <w:endnotePr>
    <w:numFmt w:val="lowerLetter"/>
    <w:endnote w:id="0"/>
    <w:endnote w:id="1"/>
  </w:endnotePr>
  <w:compat/>
  <w:docVars>
    <w:docVar w:name="lastQuoteMode" w:val="חזור ל-Normal"/>
    <w:docVar w:name="MyInfo" w:val="This document was extracted from Nevo's site"/>
  </w:docVars>
  <w:rsids>
    <w:rsidRoot w:val="004140F9"/>
    <w:rsid w:val="004140F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line="360" w:lineRule="auto"/>
      <w:jc w:val="both"/>
    </w:pPr>
    <w:rPr>
      <w:rFonts w:cs="David"/>
      <w:szCs w:val="24"/>
      <w:lang w:eastAsia="he-IL"/>
    </w:rPr>
  </w:style>
  <w:style w:type="paragraph" w:styleId="1">
    <w:name w:val="heading 1"/>
    <w:basedOn w:val="a"/>
    <w:next w:val="a"/>
    <w:qFormat/>
    <w:pPr>
      <w:keepNext/>
      <w:jc w:val="center"/>
      <w:outlineLvl w:val="0"/>
    </w:pPr>
    <w:rPr>
      <w:b/>
      <w:bCs/>
      <w:sz w:val="32"/>
      <w:szCs w:val="32"/>
      <w:u w:val="single"/>
    </w:rPr>
  </w:style>
  <w:style w:type="paragraph" w:styleId="2">
    <w:name w:val="heading 2"/>
    <w:basedOn w:val="a"/>
    <w:next w:val="a"/>
    <w:qFormat/>
    <w:pPr>
      <w:keepNext/>
      <w:snapToGrid w:val="0"/>
      <w:spacing w:before="240" w:after="60"/>
      <w:jc w:val="center"/>
      <w:outlineLvl w:val="1"/>
    </w:pPr>
    <w:rPr>
      <w:rFonts w:ascii="Arial"/>
      <w:b/>
      <w:bCs/>
      <w:sz w:val="24"/>
      <w:szCs w:val="28"/>
      <w:u w:val="single"/>
    </w:rPr>
  </w:style>
  <w:style w:type="paragraph" w:styleId="3">
    <w:name w:val="heading 3"/>
    <w:basedOn w:val="a"/>
    <w:next w:val="a"/>
    <w:qFormat/>
    <w:pPr>
      <w:keepNext/>
      <w:outlineLvl w:val="2"/>
    </w:pPr>
    <w:rPr>
      <w:b/>
      <w:bCs/>
    </w:rPr>
  </w:style>
  <w:style w:type="paragraph" w:styleId="4">
    <w:name w:val="heading 4"/>
    <w:basedOn w:val="a"/>
    <w:next w:val="a"/>
    <w:qFormat/>
    <w:pPr>
      <w:keepNext/>
      <w:jc w:val="center"/>
      <w:outlineLvl w:val="3"/>
    </w:pPr>
    <w:rPr>
      <w:u w:val="single"/>
    </w:rPr>
  </w:style>
  <w:style w:type="paragraph" w:styleId="5">
    <w:name w:val="heading 5"/>
    <w:basedOn w:val="a"/>
    <w:next w:val="a"/>
    <w:qFormat/>
    <w:pPr>
      <w:keepNext/>
      <w:jc w:val="center"/>
      <w:outlineLvl w:val="4"/>
    </w:pPr>
    <w:rPr>
      <w:u w:val="single"/>
    </w:rPr>
  </w:style>
  <w:style w:type="paragraph" w:styleId="6">
    <w:name w:val="heading 6"/>
    <w:basedOn w:val="a"/>
    <w:next w:val="a"/>
    <w:qFormat/>
    <w:pPr>
      <w:keepNext/>
      <w:jc w:val="center"/>
      <w:outlineLvl w:val="5"/>
    </w:pPr>
    <w:rPr>
      <w:u w:val="single"/>
    </w:rPr>
  </w:style>
  <w:style w:type="paragraph" w:styleId="7">
    <w:name w:val="heading 7"/>
    <w:basedOn w:val="a"/>
    <w:next w:val="a"/>
    <w:qFormat/>
    <w:pPr>
      <w:keepNext/>
      <w:jc w:val="center"/>
      <w:outlineLvl w:val="6"/>
    </w:pPr>
    <w:rPr>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style>
  <w:style w:type="paragraph" w:styleId="a4">
    <w:name w:val="footer"/>
    <w:basedOn w:val="a"/>
    <w:semiHidden/>
    <w:pPr>
      <w:tabs>
        <w:tab w:val="center" w:pos="4153"/>
        <w:tab w:val="right" w:pos="8306"/>
      </w:tabs>
      <w:snapToGrid w:val="0"/>
    </w:pPr>
    <w:rPr>
      <w:sz w:val="22"/>
    </w:rPr>
  </w:style>
  <w:style w:type="paragraph" w:styleId="a5">
    <w:name w:val="Title"/>
    <w:basedOn w:val="a"/>
    <w:qFormat/>
    <w:pPr>
      <w:jc w:val="center"/>
    </w:pPr>
    <w:rPr>
      <w:b/>
      <w:bCs/>
      <w:sz w:val="24"/>
      <w:u w:val="single"/>
    </w:rPr>
  </w:style>
  <w:style w:type="paragraph" w:styleId="a6">
    <w:name w:val="Body Text"/>
    <w:basedOn w:val="a"/>
    <w:semiHidden/>
    <w:rPr>
      <w:sz w:val="24"/>
    </w:rPr>
  </w:style>
  <w:style w:type="paragraph" w:styleId="a7">
    <w:name w:val="Normal"/>
    <w:pPr>
      <w:bidi/>
      <w:snapToGrid w:val="0"/>
    </w:pPr>
    <w:rPr>
      <w:rFonts w:cs="David"/>
      <w:szCs w:val="24"/>
      <w:lang w:eastAsia="he-IL"/>
    </w:rPr>
  </w:style>
  <w:style w:type="paragraph" w:customStyle="1" w:styleId="a8">
    <w:name w:val="שמות"/>
    <w:basedOn w:val="a"/>
    <w:pPr>
      <w:suppressLineNumbers/>
      <w:snapToGrid w:val="0"/>
    </w:pPr>
    <w:rPr>
      <w:b/>
      <w:bCs/>
      <w:sz w:val="22"/>
    </w:rPr>
  </w:style>
  <w:style w:type="paragraph" w:styleId="a9">
    <w:name w:val="Signature"/>
    <w:basedOn w:val="2"/>
    <w:pPr>
      <w:suppressLineNumbers/>
    </w:pPr>
    <w:rPr>
      <w:rFonts w:hAnsi="Arial"/>
      <w:bCs w:val="0"/>
      <w:szCs w:val="24"/>
    </w:rPr>
  </w:style>
  <w:style w:type="paragraph" w:customStyle="1" w:styleId="aa">
    <w:name w:val="החלטה"/>
    <w:basedOn w:val="a7"/>
    <w:pPr>
      <w:suppressLineNumbers/>
    </w:pPr>
    <w:rPr>
      <w:bCs/>
    </w:rPr>
  </w:style>
  <w:style w:type="paragraph" w:customStyle="1" w:styleId="ab">
    <w:name w:val="חקירה"/>
    <w:basedOn w:val="a7"/>
    <w:pPr>
      <w:suppressLineNumbers/>
    </w:pPr>
  </w:style>
  <w:style w:type="character" w:styleId="ac">
    <w:name w:val="page number"/>
    <w:basedOn w:val="a0"/>
    <w:semiHidden/>
    <w:rPr>
      <w:rFonts w:cs="David"/>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6435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lpstr>
    </vt:vector>
  </TitlesOfParts>
  <Company>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cp:lastModifiedBy>
  <cp:revision>2</cp:revision>
  <cp:lastPrinted>2007-11-07T10:36:00Z</cp:lastPrinted>
  <dcterms:created xsi:type="dcterms:W3CDTF">2014-08-20T08:10:00Z</dcterms:created>
  <dcterms:modified xsi:type="dcterms:W3CDTF">2014-08-20T08:10:00Z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7</vt:lpwstr>
  </property>
  <property fmtid="{D5CDD505-2E9C-101B-9397-08002B2CF9AE}" pid="3" name="PSAKDIN">
    <vt:lpwstr>הכרעת-דין</vt:lpwstr>
  </property>
  <property fmtid="{D5CDD505-2E9C-101B-9397-08002B2CF9AE}" pid="4" name="PROCESS">
    <vt:lpwstr>תד</vt:lpwstr>
  </property>
  <property fmtid="{D5CDD505-2E9C-101B-9397-08002B2CF9AE}" pid="5" name="PROCNUM">
    <vt:lpwstr>2971</vt:lpwstr>
  </property>
  <property fmtid="{D5CDD505-2E9C-101B-9397-08002B2CF9AE}" pid="6" name="PROCYEAR">
    <vt:lpwstr>06</vt:lpwstr>
  </property>
  <property fmtid="{D5CDD505-2E9C-101B-9397-08002B2CF9AE}" pid="7" name="APPELLANT">
    <vt:lpwstr>מדינת ישראל - לשכת תביעות את#ן י-ם</vt:lpwstr>
  </property>
  <property fmtid="{D5CDD505-2E9C-101B-9397-08002B2CF9AE}" pid="8" name="APPELLEE">
    <vt:lpwstr>חובב שירה</vt:lpwstr>
  </property>
  <property fmtid="{D5CDD505-2E9C-101B-9397-08002B2CF9AE}" pid="9" name="LAWYER">
    <vt:lpwstr>חיים כהן;זוהר גיאת</vt:lpwstr>
  </property>
  <property fmtid="{D5CDD505-2E9C-101B-9397-08002B2CF9AE}" pid="10" name="JUDGE">
    <vt:lpwstr>אברהם טננבוים</vt:lpwstr>
  </property>
  <property fmtid="{D5CDD505-2E9C-101B-9397-08002B2CF9AE}" pid="11" name="CITY">
    <vt:lpwstr>י-ם</vt:lpwstr>
  </property>
  <property fmtid="{D5CDD505-2E9C-101B-9397-08002B2CF9AE}" pid="12" name="DATE">
    <vt:lpwstr>20071107</vt:lpwstr>
  </property>
  <property fmtid="{D5CDD505-2E9C-101B-9397-08002B2CF9AE}" pid="13" name="WORDNUMPAGES">
    <vt:lpwstr>5</vt:lpwstr>
  </property>
  <property fmtid="{D5CDD505-2E9C-101B-9397-08002B2CF9AE}" pid="14" name="ISABSTRACT">
    <vt:lpwstr>Y</vt:lpwstr>
  </property>
  <property fmtid="{D5CDD505-2E9C-101B-9397-08002B2CF9AE}" pid="15" name="VOLUME">
    <vt:lpwstr/>
  </property>
  <property fmtid="{D5CDD505-2E9C-101B-9397-08002B2CF9AE}" pid="16" name="PART">
    <vt:lpwstr/>
  </property>
  <property fmtid="{D5CDD505-2E9C-101B-9397-08002B2CF9AE}" pid="17" name="PAGE">
    <vt:lpwstr/>
  </property>
  <property fmtid="{D5CDD505-2E9C-101B-9397-08002B2CF9AE}" pid="18" name="PADIMAIL">
    <vt:lpwstr/>
  </property>
  <property fmtid="{D5CDD505-2E9C-101B-9397-08002B2CF9AE}" pid="19" name="DELEMATA">
    <vt:lpwstr/>
  </property>
  <property fmtid="{D5CDD505-2E9C-101B-9397-08002B2CF9AE}" pid="20" name="LINKK1">
    <vt:lpwstr/>
  </property>
  <property fmtid="{D5CDD505-2E9C-101B-9397-08002B2CF9AE}" pid="21" name="LINKK2">
    <vt:lpwstr/>
  </property>
  <property fmtid="{D5CDD505-2E9C-101B-9397-08002B2CF9AE}" pid="22" name="LINKK3">
    <vt:lpwstr/>
  </property>
  <property fmtid="{D5CDD505-2E9C-101B-9397-08002B2CF9AE}" pid="23" name="LINKK4">
    <vt:lpwstr/>
  </property>
  <property fmtid="{D5CDD505-2E9C-101B-9397-08002B2CF9AE}" pid="24" name="LINKK5">
    <vt:lpwstr/>
  </property>
  <property fmtid="{D5CDD505-2E9C-101B-9397-08002B2CF9AE}" pid="25" name="LINKK6">
    <vt:lpwstr/>
  </property>
  <property fmtid="{D5CDD505-2E9C-101B-9397-08002B2CF9AE}" pid="26" name="LINKK7">
    <vt:lpwstr/>
  </property>
  <property fmtid="{D5CDD505-2E9C-101B-9397-08002B2CF9AE}" pid="27" name="LINKK8">
    <vt:lpwstr/>
  </property>
  <property fmtid="{D5CDD505-2E9C-101B-9397-08002B2CF9AE}" pid="28" name="LINKK9">
    <vt:lpwstr/>
  </property>
  <property fmtid="{D5CDD505-2E9C-101B-9397-08002B2CF9AE}" pid="29" name="LINKI1">
    <vt:lpwstr/>
  </property>
  <property fmtid="{D5CDD505-2E9C-101B-9397-08002B2CF9AE}" pid="30" name="LINKI2">
    <vt:lpwstr/>
  </property>
  <property fmtid="{D5CDD505-2E9C-101B-9397-08002B2CF9AE}" pid="31" name="LINKI3">
    <vt:lpwstr/>
  </property>
</Properties>
</file>