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bidiVisual/>
        <w:tblW w:w="0" w:type="auto"/>
        <w:tblLook w:val="0000"/>
      </w:tblPr>
      <w:tblGrid>
        <w:gridCol w:w="7857"/>
      </w:tblGrid>
      <w:tr w:rsidR="006D5E3B" w:rsidRPr="00552572" w:rsidTr="00552572">
        <w:tc>
          <w:tcPr>
            <w:tcW w:w="7857" w:type="dxa"/>
            <w:shd w:val="clear" w:color="auto" w:fill="auto"/>
          </w:tcPr>
          <w:p w:rsidR="006D5E3B" w:rsidRPr="00552572" w:rsidRDefault="006D5E3B" w:rsidP="00552572">
            <w:pPr>
              <w:pStyle w:val="FileNumber0"/>
              <w:jc w:val="center"/>
              <w:rPr>
                <w:sz w:val="28"/>
              </w:rPr>
            </w:pPr>
            <w:bookmarkStart w:id="0" w:name="Text1"/>
            <w:r w:rsidRPr="006D5E3B">
              <w:rPr>
                <w:rFonts w:hint="cs"/>
                <w:rtl/>
              </w:rPr>
              <w:t>בבית המשפט העליון בשבתו כבית משפט לערעורים בעניינים מנהליים</w:t>
            </w:r>
            <w:bookmarkEnd w:id="0"/>
          </w:p>
        </w:tc>
      </w:tr>
    </w:tbl>
    <w:p w:rsidR="0060249E" w:rsidRPr="006D5E3B" w:rsidRDefault="0060249E">
      <w:pPr>
        <w:jc w:val="right"/>
        <w:rPr>
          <w:rFonts w:cs="Miriam"/>
          <w:b/>
          <w:bCs/>
        </w:rPr>
      </w:pPr>
    </w:p>
    <w:tbl>
      <w:tblPr>
        <w:bidiVisual/>
        <w:tblW w:w="0" w:type="auto"/>
        <w:tblInd w:w="27" w:type="dxa"/>
        <w:tblLook w:val="0000"/>
      </w:tblPr>
      <w:tblGrid>
        <w:gridCol w:w="8495"/>
      </w:tblGrid>
      <w:tr w:rsidR="006D5E3B" w:rsidRPr="00552572" w:rsidTr="00552572">
        <w:trPr>
          <w:trHeight w:val="342"/>
        </w:trPr>
        <w:tc>
          <w:tcPr>
            <w:tcW w:w="8495" w:type="dxa"/>
            <w:shd w:val="clear" w:color="auto" w:fill="auto"/>
          </w:tcPr>
          <w:p w:rsidR="006D5E3B" w:rsidRPr="00552572" w:rsidRDefault="006D5E3B" w:rsidP="006D5E3B">
            <w:pPr>
              <w:pStyle w:val="FileNumber"/>
              <w:rPr>
                <w:sz w:val="28"/>
                <w:szCs w:val="28"/>
              </w:rPr>
            </w:pPr>
            <w:bookmarkStart w:id="1" w:name="casename_body"/>
            <w:r w:rsidRPr="00552572">
              <w:rPr>
                <w:sz w:val="28"/>
                <w:szCs w:val="28"/>
                <w:rtl/>
              </w:rPr>
              <w:t xml:space="preserve">עע"ם  2131/12 </w:t>
            </w:r>
            <w:bookmarkEnd w:id="1"/>
          </w:p>
        </w:tc>
      </w:tr>
    </w:tbl>
    <w:p w:rsidR="0060249E" w:rsidRPr="006D5E3B" w:rsidRDefault="0060249E">
      <w:pPr>
        <w:jc w:val="right"/>
        <w:rPr>
          <w:rFonts w:cs="Miriam"/>
          <w:b/>
          <w:bCs/>
        </w:rPr>
      </w:pPr>
    </w:p>
    <w:tbl>
      <w:tblPr>
        <w:bidiVisual/>
        <w:tblW w:w="0" w:type="auto"/>
        <w:tblLayout w:type="fixed"/>
        <w:tblLook w:val="0000"/>
      </w:tblPr>
      <w:tblGrid>
        <w:gridCol w:w="3284"/>
        <w:gridCol w:w="5238"/>
      </w:tblGrid>
      <w:tr w:rsidR="0060249E" w:rsidRPr="00552572" w:rsidTr="00552572">
        <w:trPr>
          <w:trHeight w:val="287"/>
        </w:trPr>
        <w:tc>
          <w:tcPr>
            <w:tcW w:w="3284" w:type="dxa"/>
            <w:shd w:val="clear" w:color="auto" w:fill="auto"/>
          </w:tcPr>
          <w:p w:rsidR="0060249E" w:rsidRPr="00552572" w:rsidRDefault="0060249E">
            <w:pPr>
              <w:pStyle w:val="BodyRuller"/>
              <w:rPr>
                <w:rFonts w:cs="Miriam"/>
                <w:b/>
                <w:bCs/>
              </w:rPr>
            </w:pPr>
            <w:r w:rsidRPr="006D5E3B">
              <w:rPr>
                <w:rFonts w:hint="cs"/>
                <w:rtl/>
              </w:rPr>
              <w:t>לפני:</w:t>
            </w:r>
            <w:r w:rsidRPr="006D5E3B">
              <w:rPr>
                <w:rFonts w:hint="cs"/>
                <w:rtl/>
              </w:rPr>
              <w:tab/>
            </w:r>
          </w:p>
        </w:tc>
        <w:tc>
          <w:tcPr>
            <w:tcW w:w="5238" w:type="dxa"/>
            <w:shd w:val="clear" w:color="auto" w:fill="auto"/>
          </w:tcPr>
          <w:p w:rsidR="0060249E" w:rsidRPr="006D5E3B" w:rsidRDefault="0060249E">
            <w:pPr>
              <w:pStyle w:val="BodyRuller"/>
            </w:pPr>
            <w:r w:rsidRPr="006D5E3B">
              <w:rPr>
                <w:rFonts w:hint="cs"/>
                <w:rtl/>
              </w:rPr>
              <w:t>כבוד השופט ס' ג'ובראן</w:t>
            </w:r>
          </w:p>
        </w:tc>
      </w:tr>
      <w:tr w:rsidR="0060249E" w:rsidRPr="00552572" w:rsidTr="00552572">
        <w:trPr>
          <w:trHeight w:val="287"/>
        </w:trPr>
        <w:tc>
          <w:tcPr>
            <w:tcW w:w="3284" w:type="dxa"/>
            <w:shd w:val="clear" w:color="auto" w:fill="auto"/>
          </w:tcPr>
          <w:p w:rsidR="0060249E" w:rsidRPr="006D5E3B" w:rsidRDefault="0060249E">
            <w:pPr>
              <w:pStyle w:val="BodyRuller"/>
            </w:pPr>
          </w:p>
        </w:tc>
        <w:tc>
          <w:tcPr>
            <w:tcW w:w="5238" w:type="dxa"/>
            <w:shd w:val="clear" w:color="auto" w:fill="auto"/>
          </w:tcPr>
          <w:p w:rsidR="0060249E" w:rsidRPr="006D5E3B" w:rsidRDefault="0060249E">
            <w:pPr>
              <w:pStyle w:val="BodyRuller"/>
            </w:pPr>
            <w:r w:rsidRPr="006D5E3B">
              <w:rPr>
                <w:rFonts w:hint="cs"/>
                <w:rtl/>
              </w:rPr>
              <w:t>כבוד השופט נ' הנדל</w:t>
            </w:r>
          </w:p>
        </w:tc>
      </w:tr>
      <w:tr w:rsidR="0060249E" w:rsidRPr="00552572" w:rsidTr="00552572">
        <w:trPr>
          <w:trHeight w:val="287"/>
        </w:trPr>
        <w:tc>
          <w:tcPr>
            <w:tcW w:w="3284" w:type="dxa"/>
            <w:shd w:val="clear" w:color="auto" w:fill="auto"/>
          </w:tcPr>
          <w:p w:rsidR="0060249E" w:rsidRPr="006D5E3B" w:rsidRDefault="0060249E">
            <w:pPr>
              <w:pStyle w:val="BodyRuller"/>
            </w:pPr>
            <w:bookmarkStart w:id="2" w:name="LastJudge"/>
            <w:bookmarkEnd w:id="2"/>
          </w:p>
        </w:tc>
        <w:tc>
          <w:tcPr>
            <w:tcW w:w="5238" w:type="dxa"/>
            <w:shd w:val="clear" w:color="auto" w:fill="auto"/>
          </w:tcPr>
          <w:p w:rsidR="0060249E" w:rsidRPr="006D5E3B" w:rsidRDefault="0060249E">
            <w:pPr>
              <w:pStyle w:val="BodyRuller"/>
            </w:pPr>
            <w:r w:rsidRPr="006D5E3B">
              <w:rPr>
                <w:rFonts w:hint="cs"/>
                <w:rtl/>
              </w:rPr>
              <w:t>כבוד השופט א' שהם</w:t>
            </w:r>
          </w:p>
        </w:tc>
      </w:tr>
    </w:tbl>
    <w:p w:rsidR="0060249E" w:rsidRPr="006D5E3B" w:rsidRDefault="0060249E">
      <w:pPr>
        <w:pStyle w:val="Ruller3"/>
        <w:rPr>
          <w:rFonts w:cs="Miriam"/>
          <w:b/>
          <w:bCs/>
          <w:sz w:val="16"/>
          <w:szCs w:val="22"/>
        </w:rPr>
      </w:pPr>
    </w:p>
    <w:tbl>
      <w:tblPr>
        <w:bidiVisual/>
        <w:tblW w:w="0" w:type="auto"/>
        <w:tblLook w:val="0000"/>
      </w:tblPr>
      <w:tblGrid>
        <w:gridCol w:w="3284"/>
        <w:gridCol w:w="5238"/>
      </w:tblGrid>
      <w:tr w:rsidR="0060249E" w:rsidRPr="00552572" w:rsidTr="00552572">
        <w:tc>
          <w:tcPr>
            <w:tcW w:w="3284" w:type="dxa"/>
            <w:shd w:val="clear" w:color="auto" w:fill="auto"/>
          </w:tcPr>
          <w:p w:rsidR="0060249E" w:rsidRPr="006D5E3B" w:rsidRDefault="0060249E">
            <w:pPr>
              <w:pStyle w:val="BodyRuller"/>
            </w:pPr>
            <w:bookmarkStart w:id="3" w:name="FirstAppellant"/>
            <w:r w:rsidRPr="006D5E3B">
              <w:rPr>
                <w:rFonts w:hint="cs"/>
                <w:rtl/>
              </w:rPr>
              <w:t>המערערים:</w:t>
            </w:r>
          </w:p>
        </w:tc>
        <w:tc>
          <w:tcPr>
            <w:tcW w:w="5238" w:type="dxa"/>
            <w:shd w:val="clear" w:color="auto" w:fill="auto"/>
          </w:tcPr>
          <w:p w:rsidR="0060249E" w:rsidRPr="006D5E3B" w:rsidRDefault="0060249E">
            <w:pPr>
              <w:pStyle w:val="BodyRuller"/>
            </w:pPr>
            <w:r w:rsidRPr="006D5E3B">
              <w:rPr>
                <w:rFonts w:hint="cs"/>
                <w:rtl/>
              </w:rPr>
              <w:t>1. רוני טל [טוקוולי]</w:t>
            </w:r>
          </w:p>
        </w:tc>
      </w:tr>
      <w:bookmarkEnd w:id="3"/>
      <w:tr w:rsidR="0060249E" w:rsidRPr="00552572" w:rsidTr="00552572">
        <w:tc>
          <w:tcPr>
            <w:tcW w:w="3284" w:type="dxa"/>
            <w:shd w:val="clear" w:color="auto" w:fill="auto"/>
          </w:tcPr>
          <w:p w:rsidR="0060249E" w:rsidRPr="006D5E3B" w:rsidRDefault="0060249E">
            <w:pPr>
              <w:pStyle w:val="BodyRuller"/>
            </w:pPr>
          </w:p>
        </w:tc>
        <w:tc>
          <w:tcPr>
            <w:tcW w:w="5238" w:type="dxa"/>
            <w:shd w:val="clear" w:color="auto" w:fill="auto"/>
          </w:tcPr>
          <w:p w:rsidR="0060249E" w:rsidRPr="006D5E3B" w:rsidRDefault="0060249E">
            <w:pPr>
              <w:pStyle w:val="BodyRuller"/>
            </w:pPr>
            <w:r w:rsidRPr="006D5E3B">
              <w:rPr>
                <w:rFonts w:hint="cs"/>
                <w:rtl/>
              </w:rPr>
              <w:t>2. מלכה טוקוולי</w:t>
            </w:r>
          </w:p>
        </w:tc>
      </w:tr>
    </w:tbl>
    <w:p w:rsidR="0060249E" w:rsidRPr="006D5E3B" w:rsidRDefault="0060249E">
      <w:pPr>
        <w:pStyle w:val="Ruller3"/>
        <w:rPr>
          <w:rFonts w:hint="cs"/>
          <w:sz w:val="12"/>
          <w:szCs w:val="18"/>
          <w:rtl/>
        </w:rPr>
      </w:pPr>
      <w:r w:rsidRPr="006D5E3B">
        <w:tab/>
      </w:r>
    </w:p>
    <w:tbl>
      <w:tblPr>
        <w:bidiVisual/>
        <w:tblW w:w="0" w:type="auto"/>
        <w:tblLook w:val="0000"/>
      </w:tblPr>
      <w:tblGrid>
        <w:gridCol w:w="3284"/>
        <w:gridCol w:w="5238"/>
      </w:tblGrid>
      <w:tr w:rsidR="0060249E" w:rsidRPr="00552572" w:rsidTr="00552572">
        <w:tc>
          <w:tcPr>
            <w:tcW w:w="3284" w:type="dxa"/>
            <w:shd w:val="clear" w:color="auto" w:fill="auto"/>
          </w:tcPr>
          <w:p w:rsidR="0060249E" w:rsidRPr="006D5E3B" w:rsidRDefault="0060249E">
            <w:pPr>
              <w:pStyle w:val="BodyRuller"/>
            </w:pPr>
          </w:p>
        </w:tc>
        <w:tc>
          <w:tcPr>
            <w:tcW w:w="5238" w:type="dxa"/>
            <w:shd w:val="clear" w:color="auto" w:fill="auto"/>
          </w:tcPr>
          <w:p w:rsidR="0060249E" w:rsidRPr="006D5E3B" w:rsidRDefault="0060249E">
            <w:pPr>
              <w:pStyle w:val="BodyRuller"/>
            </w:pPr>
            <w:r w:rsidRPr="006D5E3B">
              <w:rPr>
                <w:rFonts w:hint="cs"/>
                <w:rtl/>
              </w:rPr>
              <w:t>נ</w:t>
            </w:r>
            <w:r w:rsidRPr="006D5E3B">
              <w:t xml:space="preserve">  </w:t>
            </w:r>
            <w:r w:rsidRPr="006D5E3B">
              <w:rPr>
                <w:rFonts w:hint="cs"/>
                <w:rtl/>
              </w:rPr>
              <w:t>ג</w:t>
            </w:r>
            <w:r w:rsidRPr="006D5E3B">
              <w:t xml:space="preserve">  </w:t>
            </w:r>
            <w:r w:rsidRPr="006D5E3B">
              <w:rPr>
                <w:rFonts w:hint="cs"/>
                <w:rtl/>
              </w:rPr>
              <w:t>ד</w:t>
            </w:r>
          </w:p>
        </w:tc>
      </w:tr>
    </w:tbl>
    <w:p w:rsidR="0060249E" w:rsidRPr="006D5E3B" w:rsidRDefault="0060249E">
      <w:pPr>
        <w:pStyle w:val="Ruller3"/>
        <w:rPr>
          <w:sz w:val="16"/>
          <w:szCs w:val="22"/>
        </w:rPr>
      </w:pPr>
      <w:r w:rsidRPr="006D5E3B">
        <w:tab/>
      </w:r>
      <w:r w:rsidRPr="006D5E3B">
        <w:tab/>
      </w:r>
      <w:r w:rsidRPr="006D5E3B">
        <w:tab/>
        <w:t xml:space="preserve">     </w:t>
      </w:r>
    </w:p>
    <w:tbl>
      <w:tblPr>
        <w:bidiVisual/>
        <w:tblW w:w="0" w:type="auto"/>
        <w:tblLook w:val="0000"/>
      </w:tblPr>
      <w:tblGrid>
        <w:gridCol w:w="3284"/>
        <w:gridCol w:w="5238"/>
      </w:tblGrid>
      <w:tr w:rsidR="0060249E" w:rsidRPr="00552572" w:rsidTr="00552572">
        <w:tc>
          <w:tcPr>
            <w:tcW w:w="3284" w:type="dxa"/>
            <w:shd w:val="clear" w:color="auto" w:fill="auto"/>
          </w:tcPr>
          <w:p w:rsidR="0060249E" w:rsidRPr="006D5E3B" w:rsidRDefault="0060249E">
            <w:pPr>
              <w:pStyle w:val="BodyRuller"/>
            </w:pPr>
            <w:r w:rsidRPr="006D5E3B">
              <w:rPr>
                <w:rFonts w:hint="cs"/>
                <w:rtl/>
              </w:rPr>
              <w:t>המשיבים:</w:t>
            </w:r>
          </w:p>
        </w:tc>
        <w:tc>
          <w:tcPr>
            <w:tcW w:w="5238" w:type="dxa"/>
            <w:shd w:val="clear" w:color="auto" w:fill="auto"/>
          </w:tcPr>
          <w:p w:rsidR="0060249E" w:rsidRPr="006D5E3B" w:rsidRDefault="0060249E">
            <w:pPr>
              <w:pStyle w:val="BodyRuller"/>
            </w:pPr>
            <w:r w:rsidRPr="006D5E3B">
              <w:rPr>
                <w:rFonts w:hint="cs"/>
                <w:rtl/>
              </w:rPr>
              <w:t>1. ועדת ערר המחוזית ת''א</w:t>
            </w:r>
          </w:p>
        </w:tc>
      </w:tr>
      <w:tr w:rsidR="0060249E" w:rsidRPr="00552572" w:rsidTr="00552572">
        <w:tc>
          <w:tcPr>
            <w:tcW w:w="3284" w:type="dxa"/>
            <w:shd w:val="clear" w:color="auto" w:fill="auto"/>
          </w:tcPr>
          <w:p w:rsidR="0060249E" w:rsidRPr="006D5E3B" w:rsidRDefault="0060249E">
            <w:pPr>
              <w:pStyle w:val="BodyRuller"/>
            </w:pPr>
          </w:p>
        </w:tc>
        <w:tc>
          <w:tcPr>
            <w:tcW w:w="5238" w:type="dxa"/>
            <w:shd w:val="clear" w:color="auto" w:fill="auto"/>
          </w:tcPr>
          <w:p w:rsidR="0060249E" w:rsidRPr="006D5E3B" w:rsidRDefault="0060249E">
            <w:pPr>
              <w:pStyle w:val="BodyRuller"/>
            </w:pPr>
            <w:r w:rsidRPr="006D5E3B">
              <w:rPr>
                <w:rFonts w:hint="cs"/>
                <w:rtl/>
              </w:rPr>
              <w:t>2. שלמה בורה</w:t>
            </w:r>
          </w:p>
        </w:tc>
      </w:tr>
    </w:tbl>
    <w:p w:rsidR="0060249E" w:rsidRPr="006D5E3B" w:rsidRDefault="0060249E">
      <w:pPr>
        <w:pStyle w:val="Ruller3"/>
        <w:rPr>
          <w:rFonts w:hint="cs"/>
          <w:sz w:val="18"/>
          <w:szCs w:val="24"/>
          <w:rtl/>
        </w:rPr>
      </w:pPr>
      <w:r w:rsidRPr="006D5E3B">
        <w:rPr>
          <w:rFonts w:hint="cs"/>
          <w:rtl/>
        </w:rPr>
        <w:tab/>
      </w:r>
    </w:p>
    <w:tbl>
      <w:tblPr>
        <w:bidiVisual/>
        <w:tblW w:w="0" w:type="auto"/>
        <w:tblInd w:w="3284" w:type="dxa"/>
        <w:tblLook w:val="0000"/>
      </w:tblPr>
      <w:tblGrid>
        <w:gridCol w:w="5238"/>
      </w:tblGrid>
      <w:tr w:rsidR="0060249E" w:rsidRPr="00552572" w:rsidTr="00552572">
        <w:tc>
          <w:tcPr>
            <w:tcW w:w="5238" w:type="dxa"/>
            <w:shd w:val="clear" w:color="auto" w:fill="auto"/>
          </w:tcPr>
          <w:p w:rsidR="0060249E" w:rsidRPr="00552572" w:rsidRDefault="0060249E" w:rsidP="00552572">
            <w:pPr>
              <w:pStyle w:val="BodyRuller"/>
              <w:jc w:val="both"/>
              <w:rPr>
                <w:sz w:val="24"/>
                <w:szCs w:val="24"/>
              </w:rPr>
            </w:pPr>
            <w:r w:rsidRPr="00552572">
              <w:rPr>
                <w:rFonts w:hint="cs"/>
                <w:sz w:val="24"/>
                <w:szCs w:val="24"/>
                <w:rtl/>
              </w:rPr>
              <w:t>ערעור על פסק דינו של בית המשפט המחוזי בתל אביב, בשבתו כבית משפט לעניינים מנהליים, מיום 16.01.2012, ב</w:t>
            </w:r>
            <w:hyperlink r:id="rId6" w:history="1">
              <w:r w:rsidR="006D5E3B" w:rsidRPr="00552572">
                <w:rPr>
                  <w:color w:val="0000FF"/>
                  <w:sz w:val="24"/>
                  <w:szCs w:val="24"/>
                  <w:u w:val="single"/>
                  <w:rtl/>
                </w:rPr>
                <w:t>עת"מ 31262</w:t>
              </w:r>
              <w:r w:rsidR="006D5E3B" w:rsidRPr="00552572">
                <w:rPr>
                  <w:color w:val="0000FF"/>
                  <w:sz w:val="24"/>
                  <w:szCs w:val="24"/>
                  <w:u w:val="single"/>
                  <w:rtl/>
                </w:rPr>
                <w:t>-</w:t>
              </w:r>
              <w:r w:rsidR="006D5E3B" w:rsidRPr="00552572">
                <w:rPr>
                  <w:color w:val="0000FF"/>
                  <w:sz w:val="24"/>
                  <w:szCs w:val="24"/>
                  <w:u w:val="single"/>
                  <w:rtl/>
                </w:rPr>
                <w:t>01-11</w:t>
              </w:r>
            </w:hyperlink>
            <w:r w:rsidRPr="00552572">
              <w:rPr>
                <w:rFonts w:hint="cs"/>
                <w:sz w:val="24"/>
                <w:szCs w:val="24"/>
                <w:rtl/>
              </w:rPr>
              <w:t xml:space="preserve">, </w:t>
            </w:r>
            <w:r w:rsidR="0091755B" w:rsidRPr="00552572">
              <w:rPr>
                <w:szCs w:val="24"/>
                <w:rtl/>
              </w:rPr>
              <w:t xml:space="preserve">[פורסם בנבו] </w:t>
            </w:r>
            <w:r w:rsidRPr="00552572">
              <w:rPr>
                <w:rFonts w:hint="cs"/>
                <w:sz w:val="24"/>
                <w:szCs w:val="24"/>
                <w:rtl/>
              </w:rPr>
              <w:t>שניתן על ידי כב' השופטת א' קובו – סג"נ</w:t>
            </w:r>
          </w:p>
        </w:tc>
      </w:tr>
    </w:tbl>
    <w:p w:rsidR="0060249E" w:rsidRPr="006D5E3B" w:rsidRDefault="0060249E">
      <w:pPr>
        <w:pStyle w:val="Ruller3"/>
        <w:rPr>
          <w:rFonts w:hint="cs"/>
          <w:sz w:val="16"/>
          <w:szCs w:val="22"/>
          <w:rtl/>
        </w:rPr>
      </w:pPr>
      <w:r w:rsidRPr="006D5E3B">
        <w:rPr>
          <w:rFonts w:hint="cs"/>
          <w:rtl/>
        </w:rPr>
        <w:tab/>
      </w:r>
    </w:p>
    <w:tbl>
      <w:tblPr>
        <w:bidiVisual/>
        <w:tblW w:w="8535"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57"/>
        <w:gridCol w:w="2301"/>
        <w:gridCol w:w="2977"/>
      </w:tblGrid>
      <w:tr w:rsidR="0060249E" w:rsidRPr="00552572" w:rsidTr="00552572">
        <w:tc>
          <w:tcPr>
            <w:tcW w:w="3257" w:type="dxa"/>
            <w:tcBorders>
              <w:top w:val="nil"/>
              <w:left w:val="nil"/>
              <w:bottom w:val="nil"/>
              <w:right w:val="nil"/>
            </w:tcBorders>
            <w:shd w:val="clear" w:color="auto" w:fill="auto"/>
          </w:tcPr>
          <w:p w:rsidR="0060249E" w:rsidRPr="00552572" w:rsidRDefault="0060249E">
            <w:pPr>
              <w:pStyle w:val="BodyRuller"/>
              <w:rPr>
                <w:sz w:val="24"/>
                <w:szCs w:val="24"/>
              </w:rPr>
            </w:pPr>
            <w:r w:rsidRPr="00552572">
              <w:rPr>
                <w:rFonts w:hint="cs"/>
                <w:sz w:val="24"/>
                <w:szCs w:val="24"/>
                <w:rtl/>
              </w:rPr>
              <w:t>תאריך הישיבה:</w:t>
            </w:r>
          </w:p>
        </w:tc>
        <w:tc>
          <w:tcPr>
            <w:tcW w:w="2301" w:type="dxa"/>
            <w:tcBorders>
              <w:top w:val="nil"/>
              <w:left w:val="nil"/>
              <w:bottom w:val="nil"/>
              <w:right w:val="nil"/>
            </w:tcBorders>
            <w:shd w:val="clear" w:color="auto" w:fill="auto"/>
          </w:tcPr>
          <w:p w:rsidR="0060249E" w:rsidRPr="00552572" w:rsidRDefault="0060249E">
            <w:pPr>
              <w:pStyle w:val="BodyRuller"/>
              <w:rPr>
                <w:sz w:val="24"/>
                <w:szCs w:val="24"/>
              </w:rPr>
            </w:pPr>
            <w:r w:rsidRPr="00552572">
              <w:rPr>
                <w:rFonts w:hint="cs"/>
                <w:sz w:val="24"/>
                <w:szCs w:val="24"/>
                <w:rtl/>
              </w:rPr>
              <w:t>כ"א בטבת התשע"ג</w:t>
            </w:r>
          </w:p>
        </w:tc>
        <w:tc>
          <w:tcPr>
            <w:tcW w:w="2977" w:type="dxa"/>
            <w:tcBorders>
              <w:top w:val="nil"/>
              <w:left w:val="nil"/>
              <w:bottom w:val="nil"/>
              <w:right w:val="nil"/>
            </w:tcBorders>
            <w:shd w:val="clear" w:color="auto" w:fill="auto"/>
          </w:tcPr>
          <w:p w:rsidR="0060249E" w:rsidRPr="00552572" w:rsidRDefault="0060249E">
            <w:pPr>
              <w:pStyle w:val="BodyRuller"/>
              <w:rPr>
                <w:sz w:val="24"/>
                <w:szCs w:val="24"/>
              </w:rPr>
            </w:pPr>
            <w:r w:rsidRPr="00552572">
              <w:rPr>
                <w:rFonts w:hint="cs"/>
                <w:sz w:val="24"/>
                <w:szCs w:val="24"/>
                <w:rtl/>
              </w:rPr>
              <w:t>(3.1.2013)</w:t>
            </w:r>
          </w:p>
        </w:tc>
      </w:tr>
    </w:tbl>
    <w:p w:rsidR="0060249E" w:rsidRPr="006D5E3B" w:rsidRDefault="0060249E">
      <w:pPr>
        <w:pStyle w:val="Ruller3"/>
        <w:rPr>
          <w:rFonts w:hint="cs"/>
          <w:sz w:val="16"/>
          <w:szCs w:val="22"/>
          <w:rtl/>
        </w:rPr>
      </w:pPr>
    </w:p>
    <w:tbl>
      <w:tblPr>
        <w:bidiVisual/>
        <w:tblW w:w="0" w:type="auto"/>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57"/>
        <w:gridCol w:w="5238"/>
      </w:tblGrid>
      <w:tr w:rsidR="0060249E" w:rsidRPr="00552572" w:rsidTr="00552572">
        <w:tc>
          <w:tcPr>
            <w:tcW w:w="3257" w:type="dxa"/>
            <w:tcBorders>
              <w:top w:val="nil"/>
              <w:left w:val="nil"/>
              <w:bottom w:val="nil"/>
              <w:right w:val="nil"/>
            </w:tcBorders>
            <w:shd w:val="clear" w:color="auto" w:fill="auto"/>
          </w:tcPr>
          <w:p w:rsidR="0060249E" w:rsidRPr="006D5E3B" w:rsidRDefault="0060249E">
            <w:pPr>
              <w:pStyle w:val="BodyRuller"/>
            </w:pPr>
            <w:r w:rsidRPr="006D5E3B">
              <w:rPr>
                <w:rFonts w:hint="cs"/>
                <w:rtl/>
              </w:rPr>
              <w:t>המערערים:</w:t>
            </w:r>
          </w:p>
        </w:tc>
        <w:tc>
          <w:tcPr>
            <w:tcW w:w="5238" w:type="dxa"/>
            <w:tcBorders>
              <w:top w:val="nil"/>
              <w:left w:val="nil"/>
              <w:bottom w:val="nil"/>
              <w:right w:val="nil"/>
            </w:tcBorders>
            <w:shd w:val="clear" w:color="auto" w:fill="auto"/>
          </w:tcPr>
          <w:p w:rsidR="0060249E" w:rsidRPr="006D5E3B" w:rsidRDefault="0060249E">
            <w:pPr>
              <w:pStyle w:val="BodyRuller"/>
            </w:pPr>
            <w:r w:rsidRPr="006D5E3B">
              <w:rPr>
                <w:rFonts w:hint="cs"/>
                <w:rtl/>
              </w:rPr>
              <w:t>בעצמם</w:t>
            </w:r>
            <w:r w:rsidRPr="006D5E3B">
              <w:rPr>
                <w:rFonts w:hint="cs"/>
                <w:rtl/>
              </w:rPr>
              <w:tab/>
            </w:r>
            <w:r w:rsidRPr="006D5E3B">
              <w:rPr>
                <w:rFonts w:hint="cs"/>
                <w:rtl/>
              </w:rPr>
              <w:tab/>
            </w:r>
            <w:r w:rsidRPr="006D5E3B">
              <w:rPr>
                <w:rFonts w:hint="cs"/>
                <w:rtl/>
              </w:rPr>
              <w:tab/>
            </w:r>
          </w:p>
        </w:tc>
      </w:tr>
    </w:tbl>
    <w:p w:rsidR="0060249E" w:rsidRPr="006D5E3B" w:rsidRDefault="0060249E">
      <w:pPr>
        <w:pStyle w:val="Ruller3"/>
        <w:rPr>
          <w:sz w:val="14"/>
          <w:szCs w:val="20"/>
        </w:rPr>
      </w:pPr>
    </w:p>
    <w:tbl>
      <w:tblPr>
        <w:bidiVisual/>
        <w:tblW w:w="0" w:type="auto"/>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57"/>
        <w:gridCol w:w="5238"/>
      </w:tblGrid>
      <w:tr w:rsidR="0060249E" w:rsidRPr="00552572" w:rsidTr="00552572">
        <w:tc>
          <w:tcPr>
            <w:tcW w:w="3257" w:type="dxa"/>
            <w:tcBorders>
              <w:top w:val="nil"/>
              <w:left w:val="nil"/>
              <w:bottom w:val="nil"/>
              <w:right w:val="nil"/>
            </w:tcBorders>
            <w:shd w:val="clear" w:color="auto" w:fill="auto"/>
          </w:tcPr>
          <w:p w:rsidR="0060249E" w:rsidRPr="006D5E3B" w:rsidRDefault="0060249E">
            <w:pPr>
              <w:pStyle w:val="BodyRuller"/>
            </w:pPr>
            <w:bookmarkStart w:id="4" w:name="FirstLawyer"/>
            <w:r w:rsidRPr="006D5E3B">
              <w:rPr>
                <w:rFonts w:hint="cs"/>
                <w:rtl/>
              </w:rPr>
              <w:t>בשם המשיבה 1:</w:t>
            </w:r>
          </w:p>
        </w:tc>
        <w:tc>
          <w:tcPr>
            <w:tcW w:w="5238" w:type="dxa"/>
            <w:tcBorders>
              <w:top w:val="nil"/>
              <w:left w:val="nil"/>
              <w:bottom w:val="nil"/>
              <w:right w:val="nil"/>
            </w:tcBorders>
            <w:shd w:val="clear" w:color="auto" w:fill="auto"/>
          </w:tcPr>
          <w:p w:rsidR="0060249E" w:rsidRPr="006D5E3B" w:rsidRDefault="0060249E">
            <w:pPr>
              <w:pStyle w:val="BodyRuller"/>
              <w:rPr>
                <w:rtl/>
              </w:rPr>
            </w:pPr>
            <w:r w:rsidRPr="006D5E3B">
              <w:rPr>
                <w:rFonts w:hint="cs"/>
                <w:rtl/>
              </w:rPr>
              <w:t xml:space="preserve">עו"ד ליאורה וייס-בנסקי </w:t>
            </w:r>
          </w:p>
          <w:p w:rsidR="0060249E" w:rsidRPr="006D5E3B" w:rsidRDefault="0060249E">
            <w:pPr>
              <w:pStyle w:val="BodyRuller"/>
            </w:pPr>
          </w:p>
        </w:tc>
      </w:tr>
      <w:bookmarkEnd w:id="4"/>
      <w:tr w:rsidR="0060249E" w:rsidRPr="00552572" w:rsidTr="00552572">
        <w:tc>
          <w:tcPr>
            <w:tcW w:w="3257" w:type="dxa"/>
            <w:tcBorders>
              <w:top w:val="nil"/>
              <w:left w:val="nil"/>
              <w:bottom w:val="nil"/>
              <w:right w:val="nil"/>
            </w:tcBorders>
            <w:shd w:val="clear" w:color="auto" w:fill="auto"/>
          </w:tcPr>
          <w:p w:rsidR="0060249E" w:rsidRPr="006D5E3B" w:rsidRDefault="0060249E">
            <w:pPr>
              <w:pStyle w:val="BodyRuller"/>
            </w:pPr>
            <w:r w:rsidRPr="006D5E3B">
              <w:rPr>
                <w:rFonts w:hint="cs"/>
                <w:rtl/>
              </w:rPr>
              <w:t>בשם המשיב 2:</w:t>
            </w:r>
          </w:p>
        </w:tc>
        <w:tc>
          <w:tcPr>
            <w:tcW w:w="5238" w:type="dxa"/>
            <w:tcBorders>
              <w:top w:val="nil"/>
              <w:left w:val="nil"/>
              <w:bottom w:val="nil"/>
              <w:right w:val="nil"/>
            </w:tcBorders>
            <w:shd w:val="clear" w:color="auto" w:fill="auto"/>
          </w:tcPr>
          <w:p w:rsidR="0060249E" w:rsidRPr="006D5E3B" w:rsidRDefault="0060249E">
            <w:pPr>
              <w:pStyle w:val="BodyRuller"/>
            </w:pPr>
            <w:r w:rsidRPr="006D5E3B">
              <w:rPr>
                <w:rFonts w:hint="cs"/>
                <w:rtl/>
              </w:rPr>
              <w:t xml:space="preserve">עו"ד חיים כהן </w:t>
            </w:r>
          </w:p>
        </w:tc>
      </w:tr>
    </w:tbl>
    <w:p w:rsidR="00FE30BD" w:rsidRDefault="00FE30BD">
      <w:pPr>
        <w:tabs>
          <w:tab w:val="left" w:pos="2552"/>
        </w:tabs>
        <w:rPr>
          <w:rtl/>
        </w:rPr>
      </w:pPr>
      <w:bookmarkStart w:id="5" w:name="LawTable"/>
      <w:bookmarkEnd w:id="5"/>
    </w:p>
    <w:p w:rsidR="00FE30BD" w:rsidRPr="00FE30BD" w:rsidRDefault="00FE30BD" w:rsidP="00FE30BD">
      <w:pPr>
        <w:tabs>
          <w:tab w:val="left" w:pos="2552"/>
        </w:tabs>
        <w:spacing w:after="120" w:line="240" w:lineRule="exact"/>
        <w:ind w:left="283" w:hanging="283"/>
        <w:jc w:val="both"/>
        <w:rPr>
          <w:rFonts w:ascii="FrankRuehl" w:hAnsi="FrankRuehl" w:cs="FrankRuehl"/>
          <w:sz w:val="24"/>
          <w:rtl/>
        </w:rPr>
      </w:pPr>
    </w:p>
    <w:p w:rsidR="00FE30BD" w:rsidRPr="00FE30BD" w:rsidRDefault="00FE30BD" w:rsidP="00FE30BD">
      <w:pPr>
        <w:tabs>
          <w:tab w:val="left" w:pos="2552"/>
        </w:tabs>
        <w:spacing w:after="120" w:line="240" w:lineRule="exact"/>
        <w:ind w:left="283" w:hanging="283"/>
        <w:jc w:val="both"/>
        <w:rPr>
          <w:rFonts w:ascii="FrankRuehl" w:hAnsi="FrankRuehl" w:cs="FrankRuehl"/>
          <w:sz w:val="24"/>
          <w:rtl/>
        </w:rPr>
      </w:pPr>
      <w:r w:rsidRPr="00FE30BD">
        <w:rPr>
          <w:rFonts w:ascii="FrankRuehl" w:hAnsi="FrankRuehl" w:cs="FrankRuehl"/>
          <w:sz w:val="24"/>
          <w:rtl/>
        </w:rPr>
        <w:t xml:space="preserve">חקיקה שאוזכרה: </w:t>
      </w:r>
    </w:p>
    <w:p w:rsidR="00FE30BD" w:rsidRPr="00FE30BD" w:rsidRDefault="00FE30BD" w:rsidP="00FE30BD">
      <w:pPr>
        <w:tabs>
          <w:tab w:val="left" w:pos="2552"/>
        </w:tabs>
        <w:spacing w:after="120" w:line="240" w:lineRule="exact"/>
        <w:ind w:left="283" w:hanging="283"/>
        <w:jc w:val="both"/>
        <w:rPr>
          <w:rFonts w:ascii="FrankRuehl" w:hAnsi="FrankRuehl" w:cs="FrankRuehl"/>
          <w:sz w:val="24"/>
          <w:rtl/>
        </w:rPr>
      </w:pPr>
      <w:hyperlink r:id="rId7" w:history="1">
        <w:r w:rsidRPr="00FE30BD">
          <w:rPr>
            <w:rFonts w:ascii="FrankRuehl" w:hAnsi="FrankRuehl" w:cs="FrankRuehl"/>
            <w:color w:val="0000FF"/>
            <w:sz w:val="24"/>
            <w:u w:val="single"/>
            <w:rtl/>
          </w:rPr>
          <w:t>חוק התכנון והבניה, תשכ"ה-1965;חוק התכנון והבנייה</w:t>
        </w:r>
      </w:hyperlink>
      <w:r w:rsidRPr="00FE30BD">
        <w:rPr>
          <w:rFonts w:ascii="FrankRuehl" w:hAnsi="FrankRuehl" w:cs="FrankRuehl"/>
          <w:sz w:val="24"/>
          <w:rtl/>
        </w:rPr>
        <w:t xml:space="preserve">: סע'  </w:t>
      </w:r>
      <w:hyperlink r:id="rId8" w:history="1">
        <w:r w:rsidRPr="00FE30BD">
          <w:rPr>
            <w:rFonts w:ascii="FrankRuehl" w:hAnsi="FrankRuehl" w:cs="FrankRuehl"/>
            <w:color w:val="0000FF"/>
            <w:sz w:val="24"/>
            <w:u w:val="single"/>
            <w:rtl/>
          </w:rPr>
          <w:t>1</w:t>
        </w:r>
      </w:hyperlink>
      <w:r w:rsidRPr="00FE30BD">
        <w:rPr>
          <w:rFonts w:ascii="FrankRuehl" w:hAnsi="FrankRuehl" w:cs="FrankRuehl"/>
          <w:sz w:val="24"/>
          <w:rtl/>
        </w:rPr>
        <w:t xml:space="preserve">, </w:t>
      </w:r>
      <w:hyperlink r:id="rId9" w:history="1">
        <w:r w:rsidRPr="00FE30BD">
          <w:rPr>
            <w:rFonts w:ascii="FrankRuehl" w:hAnsi="FrankRuehl" w:cs="FrankRuehl"/>
            <w:color w:val="0000FF"/>
            <w:sz w:val="24"/>
            <w:u w:val="single"/>
            <w:rtl/>
          </w:rPr>
          <w:t>11א(א)</w:t>
        </w:r>
      </w:hyperlink>
      <w:r w:rsidRPr="00FE30BD">
        <w:rPr>
          <w:rFonts w:ascii="FrankRuehl" w:hAnsi="FrankRuehl" w:cs="FrankRuehl"/>
          <w:sz w:val="24"/>
          <w:rtl/>
        </w:rPr>
        <w:t xml:space="preserve">, </w:t>
      </w:r>
      <w:hyperlink r:id="rId10" w:history="1">
        <w:r w:rsidRPr="00FE30BD">
          <w:rPr>
            <w:rFonts w:ascii="FrankRuehl" w:hAnsi="FrankRuehl" w:cs="FrankRuehl"/>
            <w:color w:val="0000FF"/>
            <w:sz w:val="24"/>
            <w:u w:val="single"/>
            <w:rtl/>
          </w:rPr>
          <w:t>145</w:t>
        </w:r>
      </w:hyperlink>
      <w:r w:rsidRPr="00FE30BD">
        <w:rPr>
          <w:rFonts w:ascii="FrankRuehl" w:hAnsi="FrankRuehl" w:cs="FrankRuehl"/>
          <w:sz w:val="24"/>
          <w:rtl/>
        </w:rPr>
        <w:t xml:space="preserve">, </w:t>
      </w:r>
      <w:hyperlink r:id="rId11" w:history="1">
        <w:r w:rsidRPr="00FE30BD">
          <w:rPr>
            <w:rFonts w:ascii="FrankRuehl" w:hAnsi="FrankRuehl" w:cs="FrankRuehl"/>
            <w:color w:val="0000FF"/>
            <w:sz w:val="24"/>
            <w:u w:val="single"/>
            <w:rtl/>
          </w:rPr>
          <w:t>147</w:t>
        </w:r>
      </w:hyperlink>
      <w:r w:rsidRPr="00FE30BD">
        <w:rPr>
          <w:rFonts w:ascii="FrankRuehl" w:hAnsi="FrankRuehl" w:cs="FrankRuehl"/>
          <w:sz w:val="24"/>
          <w:rtl/>
        </w:rPr>
        <w:t xml:space="preserve">, </w:t>
      </w:r>
      <w:hyperlink r:id="rId12" w:history="1">
        <w:r w:rsidRPr="00FE30BD">
          <w:rPr>
            <w:rFonts w:ascii="FrankRuehl" w:hAnsi="FrankRuehl" w:cs="FrankRuehl"/>
            <w:color w:val="0000FF"/>
            <w:sz w:val="24"/>
            <w:u w:val="single"/>
            <w:rtl/>
          </w:rPr>
          <w:t>151(א)</w:t>
        </w:r>
      </w:hyperlink>
      <w:r w:rsidRPr="00FE30BD">
        <w:rPr>
          <w:rFonts w:ascii="FrankRuehl" w:hAnsi="FrankRuehl" w:cs="FrankRuehl"/>
          <w:sz w:val="24"/>
          <w:rtl/>
        </w:rPr>
        <w:t xml:space="preserve">, </w:t>
      </w:r>
      <w:hyperlink r:id="rId13" w:history="1">
        <w:r w:rsidRPr="00FE30BD">
          <w:rPr>
            <w:rFonts w:ascii="FrankRuehl" w:hAnsi="FrankRuehl" w:cs="FrankRuehl"/>
            <w:color w:val="0000FF"/>
            <w:sz w:val="24"/>
            <w:u w:val="single"/>
            <w:rtl/>
          </w:rPr>
          <w:t>151(ב)</w:t>
        </w:r>
      </w:hyperlink>
      <w:r w:rsidRPr="00FE30BD">
        <w:rPr>
          <w:rFonts w:ascii="FrankRuehl" w:hAnsi="FrankRuehl" w:cs="FrankRuehl"/>
          <w:sz w:val="24"/>
          <w:rtl/>
        </w:rPr>
        <w:t xml:space="preserve">, </w:t>
      </w:r>
      <w:hyperlink r:id="rId14" w:history="1">
        <w:r w:rsidRPr="00FE30BD">
          <w:rPr>
            <w:rFonts w:ascii="FrankRuehl" w:hAnsi="FrankRuehl" w:cs="FrankRuehl"/>
            <w:color w:val="0000FF"/>
            <w:sz w:val="24"/>
            <w:u w:val="single"/>
            <w:rtl/>
          </w:rPr>
          <w:t>152(ד)</w:t>
        </w:r>
      </w:hyperlink>
      <w:r w:rsidRPr="00FE30BD">
        <w:rPr>
          <w:rFonts w:ascii="FrankRuehl" w:hAnsi="FrankRuehl" w:cs="FrankRuehl"/>
          <w:sz w:val="24"/>
          <w:rtl/>
        </w:rPr>
        <w:t xml:space="preserve">, </w:t>
      </w:r>
      <w:hyperlink r:id="rId15" w:history="1">
        <w:r w:rsidRPr="00FE30BD">
          <w:rPr>
            <w:rFonts w:ascii="FrankRuehl" w:hAnsi="FrankRuehl" w:cs="FrankRuehl"/>
            <w:color w:val="0000FF"/>
            <w:sz w:val="24"/>
            <w:u w:val="single"/>
            <w:rtl/>
          </w:rPr>
          <w:t>204(א)</w:t>
        </w:r>
      </w:hyperlink>
      <w:r w:rsidRPr="00FE30BD">
        <w:rPr>
          <w:rFonts w:ascii="FrankRuehl" w:hAnsi="FrankRuehl" w:cs="FrankRuehl"/>
          <w:sz w:val="24"/>
          <w:rtl/>
        </w:rPr>
        <w:t xml:space="preserve">, </w:t>
      </w:r>
      <w:hyperlink r:id="rId16" w:history="1">
        <w:r w:rsidRPr="00FE30BD">
          <w:rPr>
            <w:rFonts w:ascii="FrankRuehl" w:hAnsi="FrankRuehl" w:cs="FrankRuehl"/>
            <w:color w:val="0000FF"/>
            <w:sz w:val="24"/>
            <w:u w:val="single"/>
            <w:rtl/>
          </w:rPr>
          <w:t>210</w:t>
        </w:r>
      </w:hyperlink>
    </w:p>
    <w:p w:rsidR="00FE30BD" w:rsidRPr="00FE30BD" w:rsidRDefault="00FE30BD" w:rsidP="00FE30BD">
      <w:pPr>
        <w:tabs>
          <w:tab w:val="left" w:pos="2552"/>
        </w:tabs>
        <w:spacing w:after="120" w:line="240" w:lineRule="exact"/>
        <w:ind w:left="283" w:hanging="283"/>
        <w:jc w:val="both"/>
        <w:rPr>
          <w:rFonts w:ascii="FrankRuehl" w:hAnsi="FrankRuehl" w:cs="FrankRuehl"/>
          <w:sz w:val="24"/>
          <w:rtl/>
        </w:rPr>
      </w:pPr>
      <w:hyperlink r:id="rId17" w:history="1">
        <w:r w:rsidRPr="00FE30BD">
          <w:rPr>
            <w:rFonts w:ascii="FrankRuehl" w:hAnsi="FrankRuehl" w:cs="FrankRuehl"/>
            <w:color w:val="0000FF"/>
            <w:sz w:val="24"/>
            <w:u w:val="single"/>
            <w:rtl/>
          </w:rPr>
          <w:t>חוק בתי המשפט [נוסח משולב], תשמ"ד-1984</w:t>
        </w:r>
      </w:hyperlink>
      <w:r w:rsidRPr="00FE30BD">
        <w:rPr>
          <w:rFonts w:ascii="FrankRuehl" w:hAnsi="FrankRuehl" w:cs="FrankRuehl"/>
          <w:sz w:val="24"/>
          <w:rtl/>
        </w:rPr>
        <w:t xml:space="preserve">: סע'  </w:t>
      </w:r>
      <w:hyperlink r:id="rId18" w:history="1">
        <w:r w:rsidRPr="00FE30BD">
          <w:rPr>
            <w:rFonts w:ascii="FrankRuehl" w:hAnsi="FrankRuehl" w:cs="FrankRuehl"/>
            <w:color w:val="0000FF"/>
            <w:sz w:val="24"/>
            <w:u w:val="single"/>
            <w:rtl/>
          </w:rPr>
          <w:t>30</w:t>
        </w:r>
      </w:hyperlink>
    </w:p>
    <w:p w:rsidR="00FE30BD" w:rsidRPr="00FE30BD" w:rsidRDefault="00FE30BD" w:rsidP="00FE30BD">
      <w:pPr>
        <w:tabs>
          <w:tab w:val="left" w:pos="2552"/>
        </w:tabs>
        <w:spacing w:after="120" w:line="240" w:lineRule="exact"/>
        <w:ind w:left="283" w:hanging="283"/>
        <w:jc w:val="both"/>
        <w:rPr>
          <w:rFonts w:ascii="FrankRuehl" w:hAnsi="FrankRuehl" w:cs="FrankRuehl"/>
          <w:sz w:val="24"/>
          <w:rtl/>
        </w:rPr>
      </w:pPr>
      <w:hyperlink r:id="rId19" w:history="1">
        <w:r w:rsidRPr="00FE30BD">
          <w:rPr>
            <w:rFonts w:ascii="FrankRuehl" w:hAnsi="FrankRuehl" w:cs="FrankRuehl"/>
            <w:color w:val="0000FF"/>
            <w:sz w:val="24"/>
            <w:u w:val="single"/>
            <w:rtl/>
          </w:rPr>
          <w:t>תקנות התכנון והבניה (סטיה ניכרת מתכנית), תשס"ב-2002</w:t>
        </w:r>
      </w:hyperlink>
      <w:r w:rsidRPr="00FE30BD">
        <w:rPr>
          <w:rFonts w:ascii="FrankRuehl" w:hAnsi="FrankRuehl" w:cs="FrankRuehl"/>
          <w:sz w:val="24"/>
          <w:rtl/>
        </w:rPr>
        <w:t xml:space="preserve">: סע'  </w:t>
      </w:r>
      <w:hyperlink r:id="rId20" w:history="1">
        <w:r w:rsidRPr="00FE30BD">
          <w:rPr>
            <w:rFonts w:ascii="FrankRuehl" w:hAnsi="FrankRuehl" w:cs="FrankRuehl"/>
            <w:color w:val="0000FF"/>
            <w:sz w:val="24"/>
            <w:u w:val="single"/>
            <w:rtl/>
          </w:rPr>
          <w:t>2</w:t>
        </w:r>
      </w:hyperlink>
      <w:r w:rsidRPr="00FE30BD">
        <w:rPr>
          <w:rFonts w:ascii="FrankRuehl" w:hAnsi="FrankRuehl" w:cs="FrankRuehl"/>
          <w:sz w:val="24"/>
          <w:rtl/>
        </w:rPr>
        <w:t xml:space="preserve">, </w:t>
      </w:r>
      <w:hyperlink r:id="rId21" w:history="1">
        <w:r w:rsidRPr="00FE30BD">
          <w:rPr>
            <w:rFonts w:ascii="FrankRuehl" w:hAnsi="FrankRuehl" w:cs="FrankRuehl"/>
            <w:color w:val="0000FF"/>
            <w:sz w:val="24"/>
            <w:u w:val="single"/>
            <w:rtl/>
          </w:rPr>
          <w:t>2(10)</w:t>
        </w:r>
      </w:hyperlink>
      <w:r w:rsidRPr="00FE30BD">
        <w:rPr>
          <w:rFonts w:ascii="FrankRuehl" w:hAnsi="FrankRuehl" w:cs="FrankRuehl"/>
          <w:sz w:val="24"/>
          <w:rtl/>
        </w:rPr>
        <w:t xml:space="preserve">, </w:t>
      </w:r>
      <w:hyperlink r:id="rId22" w:history="1">
        <w:r w:rsidRPr="00FE30BD">
          <w:rPr>
            <w:rFonts w:ascii="FrankRuehl" w:hAnsi="FrankRuehl" w:cs="FrankRuehl"/>
            <w:color w:val="0000FF"/>
            <w:sz w:val="24"/>
            <w:u w:val="single"/>
            <w:rtl/>
          </w:rPr>
          <w:t>6(א)</w:t>
        </w:r>
      </w:hyperlink>
    </w:p>
    <w:p w:rsidR="0091755B" w:rsidRDefault="0091755B" w:rsidP="0091755B">
      <w:pPr>
        <w:pStyle w:val="Ruller40"/>
        <w:pBdr>
          <w:top w:val="single" w:sz="4" w:space="1" w:color="auto"/>
          <w:bottom w:val="single" w:sz="4" w:space="1" w:color="auto"/>
        </w:pBdr>
        <w:spacing w:after="120" w:line="320" w:lineRule="exact"/>
        <w:rPr>
          <w:rFonts w:ascii="Times New Roman" w:hAnsi="Times New Roman" w:hint="cs"/>
          <w:spacing w:val="0"/>
          <w:sz w:val="24"/>
          <w:szCs w:val="26"/>
          <w:rtl/>
        </w:rPr>
      </w:pPr>
      <w:bookmarkStart w:id="6" w:name="ABSTRACT_START"/>
      <w:bookmarkEnd w:id="6"/>
      <w:r>
        <w:rPr>
          <w:rFonts w:ascii="Times New Roman" w:hAnsi="Times New Roman"/>
          <w:spacing w:val="0"/>
          <w:sz w:val="24"/>
          <w:szCs w:val="26"/>
          <w:rtl/>
        </w:rPr>
        <w:t>מיני-רציו:</w:t>
      </w:r>
    </w:p>
    <w:p w:rsidR="0091755B" w:rsidRPr="0091755B" w:rsidRDefault="0091755B" w:rsidP="0091755B">
      <w:pPr>
        <w:pStyle w:val="Ruller40"/>
        <w:pBdr>
          <w:top w:val="single" w:sz="4" w:space="1" w:color="auto"/>
          <w:bottom w:val="single" w:sz="4" w:space="1" w:color="auto"/>
        </w:pBdr>
        <w:spacing w:after="120" w:line="320" w:lineRule="exact"/>
        <w:rPr>
          <w:rFonts w:ascii="Times New Roman" w:hAnsi="Times New Roman" w:hint="cs"/>
          <w:spacing w:val="0"/>
          <w:sz w:val="24"/>
          <w:szCs w:val="26"/>
          <w:rtl/>
        </w:rPr>
      </w:pPr>
      <w:r>
        <w:rPr>
          <w:rFonts w:ascii="Times New Roman" w:hAnsi="Times New Roman" w:hint="cs"/>
          <w:spacing w:val="0"/>
          <w:sz w:val="24"/>
          <w:szCs w:val="26"/>
          <w:rtl/>
        </w:rPr>
        <w:t>*</w:t>
      </w:r>
      <w:r>
        <w:rPr>
          <w:rFonts w:hint="cs"/>
          <w:rtl/>
        </w:rPr>
        <w:t xml:space="preserve"> </w:t>
      </w:r>
      <w:r w:rsidRPr="0091755B">
        <w:rPr>
          <w:rFonts w:ascii="Times New Roman" w:hAnsi="Times New Roman" w:hint="cs"/>
          <w:spacing w:val="0"/>
          <w:sz w:val="24"/>
          <w:szCs w:val="26"/>
          <w:rtl/>
        </w:rPr>
        <w:t>לא הונח על-ידי המערערים בסיס עובדתי או משפטי, המצדיק התערבות בקביעת ועדת הערר, ובפסק דינו של בימ</w:t>
      </w:r>
      <w:r w:rsidRPr="0091755B">
        <w:rPr>
          <w:rFonts w:ascii="Times New Roman" w:hAnsi="Times New Roman"/>
          <w:spacing w:val="0"/>
          <w:sz w:val="24"/>
          <w:szCs w:val="26"/>
          <w:rtl/>
        </w:rPr>
        <w:t>"</w:t>
      </w:r>
      <w:r w:rsidRPr="0091755B">
        <w:rPr>
          <w:rFonts w:ascii="Times New Roman" w:hAnsi="Times New Roman" w:hint="cs"/>
          <w:spacing w:val="0"/>
          <w:sz w:val="24"/>
          <w:szCs w:val="26"/>
          <w:rtl/>
        </w:rPr>
        <w:t xml:space="preserve">ש קמא כי יש בהקלה המבוקשת משום סטייה ניכרת מהוראת התכנית החלה ובמסקנתם, בבחינת למעלה מן הצורך, כי גם בהנחה שאין מדובר בסטייה ניכרת מהוראות התכנית, אין מקום לאשר את ההקלה "בהעדר כל נימוק תכנוני לאפשר במקרה הנדון סטייה מהוראות תכנית 2327". </w:t>
      </w:r>
    </w:p>
    <w:p w:rsidR="0091755B" w:rsidRDefault="0091755B" w:rsidP="0091755B">
      <w:pPr>
        <w:pStyle w:val="Ruller40"/>
        <w:pBdr>
          <w:top w:val="single" w:sz="4" w:space="1" w:color="auto"/>
          <w:bottom w:val="single" w:sz="4" w:space="1" w:color="auto"/>
        </w:pBdr>
        <w:spacing w:after="120" w:line="320" w:lineRule="exact"/>
        <w:rPr>
          <w:rFonts w:ascii="Times New Roman" w:hAnsi="Times New Roman"/>
          <w:spacing w:val="0"/>
          <w:sz w:val="24"/>
          <w:szCs w:val="26"/>
          <w:rtl/>
        </w:rPr>
      </w:pPr>
      <w:r>
        <w:rPr>
          <w:rFonts w:ascii="Times New Roman" w:hAnsi="Times New Roman"/>
          <w:spacing w:val="0"/>
          <w:sz w:val="24"/>
          <w:szCs w:val="26"/>
          <w:rtl/>
        </w:rPr>
        <w:t>* תכנון ובנייה – היתר בנייה – הקלה</w:t>
      </w:r>
    </w:p>
    <w:p w:rsidR="0091755B" w:rsidRDefault="0091755B" w:rsidP="0091755B">
      <w:pPr>
        <w:pStyle w:val="Ruller40"/>
        <w:pBdr>
          <w:top w:val="single" w:sz="4" w:space="1" w:color="auto"/>
          <w:bottom w:val="single" w:sz="4" w:space="1" w:color="auto"/>
        </w:pBdr>
        <w:spacing w:after="120" w:line="320" w:lineRule="exact"/>
        <w:rPr>
          <w:rFonts w:ascii="Times New Roman" w:hAnsi="Times New Roman"/>
          <w:spacing w:val="0"/>
          <w:sz w:val="24"/>
          <w:szCs w:val="26"/>
          <w:rtl/>
        </w:rPr>
      </w:pPr>
      <w:r>
        <w:rPr>
          <w:rFonts w:ascii="Times New Roman" w:hAnsi="Times New Roman"/>
          <w:spacing w:val="0"/>
          <w:sz w:val="24"/>
          <w:szCs w:val="26"/>
          <w:rtl/>
        </w:rPr>
        <w:t>* תכנון ובנייה – תכניות – הקלות</w:t>
      </w:r>
    </w:p>
    <w:p w:rsidR="0091755B" w:rsidRDefault="0091755B" w:rsidP="0091755B">
      <w:pPr>
        <w:pStyle w:val="Ruller40"/>
        <w:pBdr>
          <w:top w:val="single" w:sz="4" w:space="1" w:color="auto"/>
          <w:bottom w:val="single" w:sz="4" w:space="1" w:color="auto"/>
        </w:pBdr>
        <w:spacing w:after="120" w:line="320" w:lineRule="exact"/>
        <w:rPr>
          <w:rFonts w:ascii="Times New Roman" w:hAnsi="Times New Roman"/>
          <w:spacing w:val="0"/>
          <w:sz w:val="24"/>
          <w:szCs w:val="26"/>
          <w:rtl/>
        </w:rPr>
      </w:pPr>
      <w:r>
        <w:rPr>
          <w:rFonts w:ascii="Times New Roman" w:hAnsi="Times New Roman"/>
          <w:spacing w:val="0"/>
          <w:sz w:val="24"/>
          <w:szCs w:val="26"/>
          <w:rtl/>
        </w:rPr>
        <w:lastRenderedPageBreak/>
        <w:t>* משפט מינהלי – שיקול-דעת – ועדת תכנון ובנייה</w:t>
      </w:r>
    </w:p>
    <w:p w:rsidR="0091755B" w:rsidRDefault="0091755B" w:rsidP="0091755B">
      <w:pPr>
        <w:pStyle w:val="Ruller40"/>
        <w:pBdr>
          <w:top w:val="single" w:sz="4" w:space="1" w:color="auto"/>
          <w:bottom w:val="single" w:sz="4" w:space="1" w:color="auto"/>
        </w:pBdr>
        <w:spacing w:after="120" w:line="320" w:lineRule="exact"/>
        <w:rPr>
          <w:rFonts w:ascii="Times New Roman" w:hAnsi="Times New Roman" w:hint="cs"/>
          <w:spacing w:val="0"/>
          <w:sz w:val="24"/>
          <w:szCs w:val="26"/>
          <w:rtl/>
        </w:rPr>
      </w:pPr>
      <w:r>
        <w:rPr>
          <w:rFonts w:ascii="Times New Roman" w:hAnsi="Times New Roman"/>
          <w:spacing w:val="0"/>
          <w:sz w:val="24"/>
          <w:szCs w:val="26"/>
          <w:rtl/>
        </w:rPr>
        <w:t>* תכנון ובנייה – ועדות התכנון והבנייה – התערבות בית-המשפט</w:t>
      </w:r>
    </w:p>
    <w:p w:rsidR="0091755B" w:rsidRDefault="0091755B" w:rsidP="0091755B">
      <w:pPr>
        <w:pStyle w:val="Ruller40"/>
        <w:pBdr>
          <w:top w:val="single" w:sz="4" w:space="1" w:color="auto"/>
          <w:bottom w:val="single" w:sz="4" w:space="1" w:color="auto"/>
        </w:pBdr>
        <w:spacing w:after="120" w:line="320" w:lineRule="exact"/>
        <w:rPr>
          <w:rFonts w:ascii="Times New Roman" w:hAnsi="Times New Roman" w:hint="cs"/>
          <w:spacing w:val="0"/>
          <w:sz w:val="24"/>
          <w:szCs w:val="26"/>
          <w:rtl/>
        </w:rPr>
      </w:pPr>
      <w:r>
        <w:rPr>
          <w:rFonts w:ascii="Times New Roman" w:hAnsi="Times New Roman" w:hint="cs"/>
          <w:spacing w:val="0"/>
          <w:sz w:val="24"/>
          <w:szCs w:val="26"/>
          <w:rtl/>
        </w:rPr>
        <w:t>.</w:t>
      </w:r>
    </w:p>
    <w:p w:rsidR="00E55778" w:rsidRPr="0091755B" w:rsidRDefault="00E55778" w:rsidP="0091755B">
      <w:pPr>
        <w:pStyle w:val="Ruller40"/>
        <w:pBdr>
          <w:top w:val="single" w:sz="4" w:space="1" w:color="auto"/>
          <w:bottom w:val="single" w:sz="4" w:space="1" w:color="auto"/>
        </w:pBdr>
        <w:spacing w:after="120" w:line="320" w:lineRule="exact"/>
        <w:rPr>
          <w:rFonts w:ascii="Times New Roman" w:hAnsi="Times New Roman" w:hint="cs"/>
          <w:spacing w:val="0"/>
          <w:sz w:val="24"/>
          <w:szCs w:val="26"/>
          <w:rtl/>
        </w:rPr>
      </w:pPr>
      <w:r w:rsidRPr="0091755B">
        <w:rPr>
          <w:rFonts w:ascii="Times New Roman" w:hAnsi="Times New Roman" w:hint="cs"/>
          <w:spacing w:val="0"/>
          <w:sz w:val="24"/>
          <w:szCs w:val="26"/>
          <w:rtl/>
        </w:rPr>
        <w:t>ערעור על פסק דינו של ביהמ</w:t>
      </w:r>
      <w:r w:rsidRPr="0091755B">
        <w:rPr>
          <w:rFonts w:ascii="Times New Roman" w:hAnsi="Times New Roman"/>
          <w:spacing w:val="0"/>
          <w:sz w:val="24"/>
          <w:szCs w:val="26"/>
          <w:rtl/>
        </w:rPr>
        <w:t>"</w:t>
      </w:r>
      <w:r w:rsidRPr="0091755B">
        <w:rPr>
          <w:rFonts w:ascii="Times New Roman" w:hAnsi="Times New Roman" w:hint="cs"/>
          <w:spacing w:val="0"/>
          <w:sz w:val="24"/>
          <w:szCs w:val="26"/>
          <w:rtl/>
        </w:rPr>
        <w:t>ש לעניינים מנהליים בת"א, במסגרתו נדחתה עתירתם של המערערים, המכוונת נגד החלטתה של ועדת הערר המחוזית במחוז ת"א, שבגדרה התקבל ערר על החלטת הועדה המקומית לאשר למערערים "הקלה לגג שטוח במקום גג רעפים",לאחר שימולאו תנאים מסוימים המפורטים בהחלטה. רקע: המערערים הרחיבו את דירתם ללא קבלת היתר בניה כדין, ומעל ההרחבה בדירה הם יצרו גג שטוח, באופן המנוגד לתכנית 2327, שבמסגרתה נדרש כי כל הגגות בקומה העליונה, יהיו גגות רעפים. כנגד המערערים נפתח הליך פלילי, וביום 12/2009 הם הורשעו חויבו בהריסת המבנה שנבנה, כאמור, באורח בלתי חוקי, ובקנס בשיעור של 4,000 ₪. ערעור זה הינו הליך אחד מיני רבים, אשר ננקטו על-ידי המערערים, במטרה לקבל היתר לבניה הבלתי חוקית, שלא נהרסה עד היום. ועדת הערר, אשר ביקרה במקום, קבעה כי אישור ההקלה המבוקשת, משמעו סטייה ניכרת מתכנית ולא ניתן לאשר אותה.למעלה מהצורך, צוין כי גם בהנחה שאין מדובר בסטייה ניכרת מהוראות התכנית, עדיין "לא היה מקום לאשר את ההקלה, בהעדר כל נימוק תכנוני לאפשר במקרה הנדון סטייה מהוראות תכנית 2327".</w:t>
      </w:r>
    </w:p>
    <w:p w:rsidR="00E55778" w:rsidRPr="0091755B" w:rsidRDefault="0091755B" w:rsidP="0091755B">
      <w:pPr>
        <w:pStyle w:val="Ruller40"/>
        <w:pBdr>
          <w:top w:val="single" w:sz="4" w:space="1" w:color="auto"/>
          <w:bottom w:val="single" w:sz="4" w:space="1" w:color="auto"/>
        </w:pBdr>
        <w:spacing w:after="120" w:line="320" w:lineRule="exact"/>
        <w:rPr>
          <w:rFonts w:ascii="Times New Roman" w:hAnsi="Times New Roman" w:hint="cs"/>
          <w:spacing w:val="0"/>
          <w:sz w:val="24"/>
          <w:szCs w:val="26"/>
          <w:rtl/>
        </w:rPr>
      </w:pPr>
      <w:r>
        <w:rPr>
          <w:rFonts w:ascii="Times New Roman" w:hAnsi="Times New Roman" w:hint="cs"/>
          <w:spacing w:val="0"/>
          <w:sz w:val="24"/>
          <w:szCs w:val="26"/>
          <w:rtl/>
        </w:rPr>
        <w:t>.</w:t>
      </w:r>
    </w:p>
    <w:p w:rsidR="00E55778" w:rsidRPr="0091755B" w:rsidRDefault="00E55778" w:rsidP="0091755B">
      <w:pPr>
        <w:pStyle w:val="Ruller40"/>
        <w:pBdr>
          <w:top w:val="single" w:sz="4" w:space="1" w:color="auto"/>
          <w:bottom w:val="single" w:sz="4" w:space="1" w:color="auto"/>
        </w:pBdr>
        <w:spacing w:after="120" w:line="320" w:lineRule="exact"/>
        <w:rPr>
          <w:rFonts w:ascii="Times New Roman" w:hAnsi="Times New Roman" w:hint="cs"/>
          <w:spacing w:val="0"/>
          <w:sz w:val="24"/>
          <w:szCs w:val="26"/>
          <w:rtl/>
        </w:rPr>
      </w:pPr>
      <w:r w:rsidRPr="0091755B">
        <w:rPr>
          <w:rFonts w:ascii="Times New Roman" w:hAnsi="Times New Roman" w:hint="cs"/>
          <w:spacing w:val="0"/>
          <w:sz w:val="24"/>
          <w:szCs w:val="26"/>
          <w:rtl/>
        </w:rPr>
        <w:t>ביהמ"ש העליון (מפי השופט א' שהם, בהסכמת השופטים ס' ג'ובראן ונ' הנדל) דחה את הערעור מהטעמים הבאים:</w:t>
      </w:r>
    </w:p>
    <w:p w:rsidR="00E55778" w:rsidRPr="0091755B" w:rsidRDefault="00E55778" w:rsidP="0091755B">
      <w:pPr>
        <w:pStyle w:val="Ruller40"/>
        <w:pBdr>
          <w:top w:val="single" w:sz="4" w:space="1" w:color="auto"/>
          <w:bottom w:val="single" w:sz="4" w:space="1" w:color="auto"/>
        </w:pBdr>
        <w:spacing w:after="120" w:line="320" w:lineRule="exact"/>
        <w:rPr>
          <w:rFonts w:ascii="Times New Roman" w:hAnsi="Times New Roman" w:hint="cs"/>
          <w:spacing w:val="0"/>
          <w:sz w:val="24"/>
          <w:szCs w:val="26"/>
          <w:rtl/>
        </w:rPr>
      </w:pPr>
      <w:r w:rsidRPr="0091755B">
        <w:rPr>
          <w:rFonts w:ascii="Times New Roman" w:hAnsi="Times New Roman" w:hint="cs"/>
          <w:spacing w:val="0"/>
          <w:sz w:val="24"/>
          <w:szCs w:val="26"/>
          <w:rtl/>
        </w:rPr>
        <w:t>ראשית נדחתה טענת המערערים בדבר קיומה של "הבטחה שלטונית", שכביכול ניתנה להם במסגרת הדיון בערעור הקודם. כן נדחתה הטענה כי יש בהוראות סעיפים 12(ב) ו-12(ד) לתכנית 2327, לפטור אותם מן החובה לקיים הליך של הקלה.לעניין זה, אין צורך להוסיף דבר על שנאמר בנושא זה במסגרת הערעור הקודם.</w:t>
      </w:r>
    </w:p>
    <w:p w:rsidR="00E55778" w:rsidRPr="0091755B" w:rsidRDefault="00E55778" w:rsidP="0091755B">
      <w:pPr>
        <w:pStyle w:val="Ruller40"/>
        <w:pBdr>
          <w:top w:val="single" w:sz="4" w:space="1" w:color="auto"/>
          <w:bottom w:val="single" w:sz="4" w:space="1" w:color="auto"/>
        </w:pBdr>
        <w:spacing w:after="120" w:line="320" w:lineRule="exact"/>
        <w:rPr>
          <w:rFonts w:ascii="Times New Roman" w:hAnsi="Times New Roman" w:hint="cs"/>
          <w:spacing w:val="0"/>
          <w:sz w:val="24"/>
          <w:szCs w:val="26"/>
          <w:rtl/>
        </w:rPr>
      </w:pPr>
      <w:r w:rsidRPr="0091755B">
        <w:rPr>
          <w:rFonts w:ascii="Times New Roman" w:hAnsi="Times New Roman" w:hint="cs"/>
          <w:spacing w:val="0"/>
          <w:sz w:val="24"/>
          <w:szCs w:val="26"/>
          <w:rtl/>
        </w:rPr>
        <w:t>אשר לדחיית בקשתם להקלה: כידוע, התערבותו של ביהמ</w:t>
      </w:r>
      <w:r w:rsidRPr="0091755B">
        <w:rPr>
          <w:rFonts w:ascii="Times New Roman" w:hAnsi="Times New Roman"/>
          <w:spacing w:val="0"/>
          <w:sz w:val="24"/>
          <w:szCs w:val="26"/>
          <w:rtl/>
        </w:rPr>
        <w:t>"</w:t>
      </w:r>
      <w:r w:rsidRPr="0091755B">
        <w:rPr>
          <w:rFonts w:ascii="Times New Roman" w:hAnsi="Times New Roman" w:hint="cs"/>
          <w:spacing w:val="0"/>
          <w:sz w:val="24"/>
          <w:szCs w:val="26"/>
          <w:rtl/>
        </w:rPr>
        <w:t xml:space="preserve">ש בהחלטות של מוסדות התכנון והבניה תעשה רק במקרים חריגים ביותר, כגון: אם ההחלטה ניתנה בחוסר תום לב, בחוסר סמכות או אם היא נבעה משיקולים פסולים, או שלא בסבירות ראויה. לעניין אחרון זה, מדובר בחוסר סבירות קיצוני, במובן זה שהיא חורגת לחלוטין ממתחם האפשרויות הסבירות שעמדו בפני הרשות בנסיבות אותו עניין. </w:t>
      </w:r>
    </w:p>
    <w:p w:rsidR="00E55778" w:rsidRPr="0091755B" w:rsidRDefault="00E55778" w:rsidP="0091755B">
      <w:pPr>
        <w:pStyle w:val="Ruller40"/>
        <w:pBdr>
          <w:top w:val="single" w:sz="4" w:space="1" w:color="auto"/>
          <w:bottom w:val="single" w:sz="4" w:space="1" w:color="auto"/>
        </w:pBdr>
        <w:spacing w:after="120" w:line="320" w:lineRule="exact"/>
        <w:rPr>
          <w:rFonts w:ascii="Times New Roman" w:hAnsi="Times New Roman" w:hint="cs"/>
          <w:spacing w:val="0"/>
          <w:sz w:val="24"/>
          <w:szCs w:val="26"/>
          <w:rtl/>
        </w:rPr>
      </w:pPr>
      <w:r w:rsidRPr="0091755B">
        <w:rPr>
          <w:rFonts w:ascii="Times New Roman" w:hAnsi="Times New Roman" w:hint="cs"/>
          <w:spacing w:val="0"/>
          <w:sz w:val="24"/>
          <w:szCs w:val="26"/>
          <w:rtl/>
        </w:rPr>
        <w:t>בבוא מוסד תכנון לבחון בקשה להקלה, תוך סטייה מהוראות תכנית, עליו לערוך בחינה דו שלבית. בשלב הראשון, תבחן השאלה אם ההקלה המבוקשת היא בגדר "סטייה ניכרת" מהוראות התכנית. אם המסקנה היא כי אכן מדובר בסטייה ניכרת, בכך ייסתם הגולל על הבקשה, והיא תידחה בלא צורך בבחינה נוספת. אם, לעומת זאת, הגיע מוסד התכנון למסקנה כי אין מדובר בסטייה ניכרת, כי אז עליו לבחון את הבקשה לגופה, תוך הפעלת שיקול דעת תכנוני.</w:t>
      </w:r>
    </w:p>
    <w:p w:rsidR="00E55778" w:rsidRPr="0091755B" w:rsidRDefault="00E55778" w:rsidP="0091755B">
      <w:pPr>
        <w:pStyle w:val="Ruller40"/>
        <w:pBdr>
          <w:top w:val="single" w:sz="4" w:space="1" w:color="auto"/>
          <w:bottom w:val="single" w:sz="4" w:space="1" w:color="auto"/>
        </w:pBdr>
        <w:spacing w:after="120" w:line="320" w:lineRule="exact"/>
        <w:rPr>
          <w:rFonts w:ascii="Times New Roman" w:hAnsi="Times New Roman" w:hint="cs"/>
          <w:spacing w:val="0"/>
          <w:sz w:val="24"/>
          <w:szCs w:val="26"/>
          <w:rtl/>
        </w:rPr>
      </w:pPr>
      <w:r w:rsidRPr="0091755B">
        <w:rPr>
          <w:rFonts w:ascii="Times New Roman" w:hAnsi="Times New Roman" w:hint="cs"/>
          <w:spacing w:val="0"/>
          <w:sz w:val="24"/>
          <w:szCs w:val="26"/>
          <w:rtl/>
        </w:rPr>
        <w:t>ככל שמדובר בהליך המתקיים בפני ועדת ערר, שהיא בגדר "מוסד תכנון", כהגדרתו בסעיף 11א(א) ל</w:t>
      </w:r>
      <w:hyperlink r:id="rId23" w:history="1">
        <w:r w:rsidR="00665961" w:rsidRPr="00665961">
          <w:rPr>
            <w:rFonts w:ascii="Times New Roman" w:hAnsi="Times New Roman"/>
            <w:color w:val="0000FF"/>
            <w:spacing w:val="0"/>
            <w:sz w:val="24"/>
            <w:szCs w:val="26"/>
            <w:u w:val="single"/>
            <w:rtl/>
          </w:rPr>
          <w:t>חוק התכנון והבניה</w:t>
        </w:r>
      </w:hyperlink>
      <w:r w:rsidRPr="0091755B">
        <w:rPr>
          <w:rFonts w:ascii="Times New Roman" w:hAnsi="Times New Roman" w:hint="cs"/>
          <w:spacing w:val="0"/>
          <w:sz w:val="24"/>
          <w:szCs w:val="26"/>
          <w:rtl/>
        </w:rPr>
        <w:t>, הרי שועדת הערר רשאית לשים את שיקול דעתה המקצועי במקום שיקול דעתה של הועדה המקומית. הביקורת שמפעילה ועדת הערר נעשית בדרך של בחינה מחדש (</w:t>
      </w:r>
      <w:r w:rsidRPr="0091755B">
        <w:rPr>
          <w:rFonts w:ascii="Times New Roman" w:hAnsi="Times New Roman"/>
          <w:spacing w:val="0"/>
          <w:sz w:val="24"/>
          <w:szCs w:val="26"/>
        </w:rPr>
        <w:t>DE NOVO</w:t>
      </w:r>
      <w:r w:rsidRPr="0091755B">
        <w:rPr>
          <w:rFonts w:ascii="Times New Roman" w:hAnsi="Times New Roman" w:hint="cs"/>
          <w:spacing w:val="0"/>
          <w:sz w:val="24"/>
          <w:szCs w:val="26"/>
          <w:rtl/>
        </w:rPr>
        <w:t>) של ההחלטה, בהתאם לשיקולים מקצועיים ותכנוניים (סעיף 152(ד) ל</w:t>
      </w:r>
      <w:hyperlink r:id="rId24" w:history="1">
        <w:r w:rsidR="00665961" w:rsidRPr="00665961">
          <w:rPr>
            <w:rFonts w:ascii="Times New Roman" w:hAnsi="Times New Roman"/>
            <w:color w:val="0000FF"/>
            <w:spacing w:val="0"/>
            <w:sz w:val="24"/>
            <w:szCs w:val="26"/>
            <w:u w:val="single"/>
            <w:rtl/>
          </w:rPr>
          <w:t>חוק התכנון והבניה</w:t>
        </w:r>
      </w:hyperlink>
      <w:r w:rsidRPr="0091755B">
        <w:rPr>
          <w:rFonts w:ascii="Times New Roman" w:hAnsi="Times New Roman" w:hint="cs"/>
          <w:spacing w:val="0"/>
          <w:sz w:val="24"/>
          <w:szCs w:val="26"/>
          <w:rtl/>
        </w:rPr>
        <w:t>). בכך, שונה ביקורתה של ועדת הערר מהביקורת המופעלת על ידי בתי המשפט, כפי שהובהר לעיל.</w:t>
      </w:r>
    </w:p>
    <w:p w:rsidR="00E55778" w:rsidRPr="0091755B" w:rsidRDefault="00E55778" w:rsidP="0091755B">
      <w:pPr>
        <w:pStyle w:val="Ruller40"/>
        <w:pBdr>
          <w:top w:val="single" w:sz="4" w:space="1" w:color="auto"/>
          <w:bottom w:val="single" w:sz="4" w:space="1" w:color="auto"/>
        </w:pBdr>
        <w:spacing w:after="120" w:line="320" w:lineRule="exact"/>
        <w:rPr>
          <w:rFonts w:ascii="Times New Roman" w:hAnsi="Times New Roman" w:hint="cs"/>
          <w:spacing w:val="0"/>
          <w:sz w:val="24"/>
          <w:szCs w:val="26"/>
          <w:rtl/>
        </w:rPr>
      </w:pPr>
      <w:r w:rsidRPr="0091755B">
        <w:rPr>
          <w:rFonts w:ascii="Times New Roman" w:hAnsi="Times New Roman" w:hint="cs"/>
          <w:spacing w:val="0"/>
          <w:sz w:val="24"/>
          <w:szCs w:val="26"/>
          <w:rtl/>
        </w:rPr>
        <w:lastRenderedPageBreak/>
        <w:t>במקרה דנן, לא הונח על-ידי המערערים בסיס עובדתי או משפטי, המצדיק התערבות בקביעת ועדת הערר, ובפסק דינו של בימ</w:t>
      </w:r>
      <w:r w:rsidRPr="0091755B">
        <w:rPr>
          <w:rFonts w:ascii="Times New Roman" w:hAnsi="Times New Roman"/>
          <w:spacing w:val="0"/>
          <w:sz w:val="24"/>
          <w:szCs w:val="26"/>
          <w:rtl/>
        </w:rPr>
        <w:t>"</w:t>
      </w:r>
      <w:r w:rsidRPr="0091755B">
        <w:rPr>
          <w:rFonts w:ascii="Times New Roman" w:hAnsi="Times New Roman" w:hint="cs"/>
          <w:spacing w:val="0"/>
          <w:sz w:val="24"/>
          <w:szCs w:val="26"/>
          <w:rtl/>
        </w:rPr>
        <w:t xml:space="preserve">ש קמא כי יש בהקלה המבוקשת משום סטייה ניכרת מהוראת התכנית החלה ובמסקנתם, בבחינת למעלה מן הצורך, כי גם בהנחה שאין מדובר בסטייה ניכרת מהוראות התכנית, אין מקום לאשר את ההקלה "בהעדר כל נימוק תכנוני לאפשר במקרה הנדון סטייה מהוראות תכנית 2327". </w:t>
      </w:r>
    </w:p>
    <w:p w:rsidR="00E55778" w:rsidRPr="0091755B" w:rsidRDefault="00E55778" w:rsidP="0091755B">
      <w:pPr>
        <w:pStyle w:val="Ruller40"/>
        <w:pBdr>
          <w:top w:val="single" w:sz="4" w:space="1" w:color="auto"/>
          <w:bottom w:val="single" w:sz="4" w:space="1" w:color="auto"/>
        </w:pBdr>
        <w:spacing w:after="120" w:line="320" w:lineRule="exact"/>
        <w:rPr>
          <w:rFonts w:ascii="Times New Roman" w:hAnsi="Times New Roman" w:hint="cs"/>
          <w:spacing w:val="0"/>
          <w:sz w:val="24"/>
          <w:szCs w:val="26"/>
          <w:rtl/>
        </w:rPr>
      </w:pPr>
      <w:r w:rsidRPr="0091755B">
        <w:rPr>
          <w:rFonts w:ascii="Times New Roman" w:hAnsi="Times New Roman" w:hint="cs"/>
          <w:spacing w:val="0"/>
          <w:sz w:val="24"/>
          <w:szCs w:val="26"/>
          <w:rtl/>
        </w:rPr>
        <w:t>כן נדחתה טענת האפליה שהעלו המערערים. ועדת הערר בחנה את הרשימה שהוגשה על-ידי המערערים, ככל שהיא מתייחסת לרחוב בו מצויה הדירה, וסירבה, בצדק, לקבל רשימה הנוגעת לרחובות הסמוכים. הועדה מצאה, כי רק בשני מקרים ניתן היתר לבניית גג שטוח בניגוד לתכנית, ולגישת הועדה מדובר בהיתר בלתי חוקי. ועדת הערר קבעה, כי גם אם טעתה הועדה המקומית באשרה, בשני מקרים, היתרי בניה הנוגדים את התכנית "הרי שלא ניתן לדרוש כי יינתן גם היום היתר לא חוקי שכזה על בסיס טענת אפליה". בימ</w:t>
      </w:r>
      <w:r w:rsidRPr="0091755B">
        <w:rPr>
          <w:rFonts w:ascii="Times New Roman" w:hAnsi="Times New Roman"/>
          <w:spacing w:val="0"/>
          <w:sz w:val="24"/>
          <w:szCs w:val="26"/>
          <w:rtl/>
        </w:rPr>
        <w:t>"</w:t>
      </w:r>
      <w:r w:rsidRPr="0091755B">
        <w:rPr>
          <w:rFonts w:ascii="Times New Roman" w:hAnsi="Times New Roman" w:hint="cs"/>
          <w:spacing w:val="0"/>
          <w:sz w:val="24"/>
          <w:szCs w:val="26"/>
          <w:rtl/>
        </w:rPr>
        <w:t>ש קמא אימץ קביעה זו ואין בסיס להתערבות במסקנה זו. שכן, אין להנציח הפרת חוק, גם אם הונפקו היתרים בשני מקרים אחרים, כאשר לגישת הועדה מדובר בהיתרים בלתי חוקיים.</w:t>
      </w:r>
    </w:p>
    <w:p w:rsidR="00E55778" w:rsidRPr="0091755B" w:rsidRDefault="00E55778" w:rsidP="0091755B">
      <w:pPr>
        <w:pStyle w:val="Ruller40"/>
        <w:pBdr>
          <w:top w:val="single" w:sz="4" w:space="1" w:color="auto"/>
          <w:bottom w:val="single" w:sz="4" w:space="1" w:color="auto"/>
        </w:pBdr>
        <w:spacing w:after="120" w:line="320" w:lineRule="exact"/>
        <w:rPr>
          <w:rFonts w:ascii="Times New Roman" w:hAnsi="Times New Roman" w:hint="cs"/>
          <w:spacing w:val="0"/>
          <w:sz w:val="24"/>
          <w:szCs w:val="26"/>
          <w:rtl/>
        </w:rPr>
      </w:pPr>
      <w:r w:rsidRPr="0091755B">
        <w:rPr>
          <w:rFonts w:ascii="Times New Roman" w:hAnsi="Times New Roman" w:hint="cs"/>
          <w:spacing w:val="0"/>
          <w:sz w:val="24"/>
          <w:szCs w:val="26"/>
          <w:rtl/>
        </w:rPr>
        <w:t>כן נדחתה על הסף בקשתם הנוספת של המערערים לקיים בעניינם דיון בפני הרכב מורחב. במהלך הדיון בערעור, היה למערערים יומם בבימ</w:t>
      </w:r>
      <w:r w:rsidRPr="0091755B">
        <w:rPr>
          <w:rFonts w:ascii="Times New Roman" w:hAnsi="Times New Roman"/>
          <w:spacing w:val="0"/>
          <w:sz w:val="24"/>
          <w:szCs w:val="26"/>
          <w:rtl/>
        </w:rPr>
        <w:t>"</w:t>
      </w:r>
      <w:r w:rsidRPr="0091755B">
        <w:rPr>
          <w:rFonts w:ascii="Times New Roman" w:hAnsi="Times New Roman" w:hint="cs"/>
          <w:spacing w:val="0"/>
          <w:sz w:val="24"/>
          <w:szCs w:val="26"/>
          <w:rtl/>
        </w:rPr>
        <w:t>ש זה וניתנה למערערים, ובעיקר למערער 1, הזדמנות נאותה לפרוש בהרחבה את טיעוניהם. הדיון בערעורם של המערערים מוצה עד תום ואין כל מקום לדון בערעור זה מחדש, בין אם בהרכב המקורי ובין אם בהרכב אחר.</w:t>
      </w:r>
    </w:p>
    <w:p w:rsidR="00E55778" w:rsidRDefault="00E55778">
      <w:pPr>
        <w:tabs>
          <w:tab w:val="left" w:pos="2552"/>
        </w:tabs>
        <w:rPr>
          <w:rFonts w:hint="cs"/>
          <w:rtl/>
        </w:rPr>
      </w:pPr>
      <w:bookmarkStart w:id="7" w:name="ABSTRACT_END"/>
      <w:bookmarkEnd w:id="7"/>
    </w:p>
    <w:tbl>
      <w:tblPr>
        <w:bidiVisual/>
        <w:tblW w:w="0" w:type="auto"/>
        <w:tblLook w:val="0000"/>
      </w:tblPr>
      <w:tblGrid>
        <w:gridCol w:w="8522"/>
      </w:tblGrid>
      <w:tr w:rsidR="0060249E" w:rsidRPr="00552572" w:rsidTr="00552572">
        <w:tc>
          <w:tcPr>
            <w:tcW w:w="8522" w:type="dxa"/>
            <w:shd w:val="clear" w:color="auto" w:fill="auto"/>
          </w:tcPr>
          <w:p w:rsidR="0060249E" w:rsidRPr="006D5E3B" w:rsidRDefault="006D5E3B" w:rsidP="006D5E3B">
            <w:pPr>
              <w:pStyle w:val="DocumentHead"/>
            </w:pPr>
            <w:bookmarkStart w:id="8" w:name="BeginProtocol"/>
            <w:bookmarkStart w:id="9" w:name="secretary"/>
            <w:bookmarkStart w:id="10" w:name="PsakDin" w:colFirst="0" w:colLast="0"/>
            <w:bookmarkEnd w:id="8"/>
            <w:bookmarkEnd w:id="9"/>
            <w:r w:rsidRPr="006D5E3B">
              <w:rPr>
                <w:rtl/>
              </w:rPr>
              <w:t>פסק-דין</w:t>
            </w:r>
          </w:p>
        </w:tc>
      </w:tr>
      <w:bookmarkEnd w:id="10"/>
    </w:tbl>
    <w:p w:rsidR="0060249E" w:rsidRDefault="0060249E">
      <w:pPr>
        <w:pStyle w:val="BODYVERDICT"/>
      </w:pPr>
    </w:p>
    <w:p w:rsidR="0060249E" w:rsidRDefault="0060249E">
      <w:pPr>
        <w:pStyle w:val="BODYVERDICT"/>
        <w:rPr>
          <w:rFonts w:cs="Miriam"/>
          <w:sz w:val="24"/>
          <w:szCs w:val="24"/>
          <w:u w:val="single"/>
        </w:rPr>
      </w:pPr>
      <w:bookmarkStart w:id="11" w:name="Writer_Name"/>
      <w:bookmarkEnd w:id="11"/>
      <w:r>
        <w:rPr>
          <w:rFonts w:cs="Miriam" w:hint="cs"/>
          <w:sz w:val="24"/>
          <w:szCs w:val="24"/>
          <w:u w:val="single"/>
          <w:rtl/>
        </w:rPr>
        <w:t>השופט א' שהם:</w:t>
      </w:r>
    </w:p>
    <w:p w:rsidR="0060249E" w:rsidRDefault="0060249E">
      <w:pPr>
        <w:pStyle w:val="Ruller40"/>
        <w:rPr>
          <w:rFonts w:hint="cs"/>
          <w:rtl/>
        </w:rPr>
      </w:pPr>
    </w:p>
    <w:p w:rsidR="0060249E" w:rsidRDefault="0060249E">
      <w:pPr>
        <w:pStyle w:val="Ruller40"/>
        <w:rPr>
          <w:rFonts w:ascii="Times New Roman" w:hAnsi="Times New Roman" w:cs="Miriam" w:hint="cs"/>
          <w:spacing w:val="0"/>
          <w:sz w:val="28"/>
          <w:szCs w:val="24"/>
          <w:rtl/>
        </w:rPr>
      </w:pPr>
      <w:r>
        <w:rPr>
          <w:rFonts w:ascii="Times New Roman" w:hAnsi="Times New Roman" w:cs="Miriam" w:hint="cs"/>
          <w:spacing w:val="0"/>
          <w:sz w:val="28"/>
          <w:szCs w:val="24"/>
          <w:rtl/>
        </w:rPr>
        <w:t>רקע כללי</w:t>
      </w:r>
    </w:p>
    <w:p w:rsidR="0060249E" w:rsidRDefault="0060249E">
      <w:pPr>
        <w:pStyle w:val="Ruller40"/>
        <w:rPr>
          <w:rFonts w:hint="cs"/>
          <w:sz w:val="12"/>
          <w:szCs w:val="18"/>
          <w:rtl/>
        </w:rPr>
      </w:pPr>
    </w:p>
    <w:p w:rsidR="0060249E" w:rsidRDefault="0060249E">
      <w:pPr>
        <w:pStyle w:val="Ruller40"/>
        <w:rPr>
          <w:rFonts w:hint="cs"/>
          <w:rtl/>
        </w:rPr>
      </w:pPr>
      <w:r>
        <w:rPr>
          <w:rFonts w:hint="cs"/>
          <w:rtl/>
        </w:rPr>
        <w:t>1.</w:t>
      </w:r>
      <w:r>
        <w:rPr>
          <w:rFonts w:hint="cs"/>
          <w:rtl/>
        </w:rPr>
        <w:tab/>
        <w:t xml:space="preserve">לפנינו ערעור על פסק דינו של בית המשפט המחוזי בתל אביב-יפו, בשבתו כבית משפט לעניינים מנהליים, מיום 16.1.2012, בתיק </w:t>
      </w:r>
      <w:hyperlink r:id="rId25" w:history="1">
        <w:r w:rsidR="006D5E3B" w:rsidRPr="006D5E3B">
          <w:rPr>
            <w:color w:val="0000FF"/>
            <w:u w:val="single"/>
            <w:rtl/>
          </w:rPr>
          <w:t>עת"מ 31262-01-11</w:t>
        </w:r>
      </w:hyperlink>
      <w:r>
        <w:rPr>
          <w:rFonts w:hint="cs"/>
          <w:rtl/>
        </w:rPr>
        <w:t xml:space="preserve">, </w:t>
      </w:r>
      <w:r w:rsidR="0091755B" w:rsidRPr="0091755B">
        <w:rPr>
          <w:rFonts w:ascii="Times New Roman" w:hAnsi="Times New Roman" w:cs="David"/>
          <w:spacing w:val="0"/>
          <w:szCs w:val="24"/>
          <w:rtl/>
        </w:rPr>
        <w:t xml:space="preserve">[פורסם בנבו] </w:t>
      </w:r>
      <w:r>
        <w:rPr>
          <w:rFonts w:hint="cs"/>
          <w:rtl/>
        </w:rPr>
        <w:t xml:space="preserve">אשר ניתן על-ידי כב' השופטת </w:t>
      </w:r>
      <w:r>
        <w:rPr>
          <w:rFonts w:ascii="Times New Roman" w:hAnsi="Times New Roman" w:cs="Miriam" w:hint="cs"/>
          <w:spacing w:val="0"/>
          <w:sz w:val="28"/>
          <w:szCs w:val="24"/>
          <w:rtl/>
        </w:rPr>
        <w:t>א' קובו</w:t>
      </w:r>
      <w:r>
        <w:rPr>
          <w:rFonts w:hint="cs"/>
          <w:rtl/>
        </w:rPr>
        <w:t>, סג"נ.</w:t>
      </w:r>
    </w:p>
    <w:p w:rsidR="0060249E" w:rsidRDefault="0060249E">
      <w:pPr>
        <w:pStyle w:val="Ruller40"/>
        <w:rPr>
          <w:rFonts w:hint="cs"/>
          <w:rtl/>
        </w:rPr>
      </w:pPr>
      <w:bookmarkStart w:id="12" w:name="Start_Write"/>
      <w:bookmarkEnd w:id="12"/>
    </w:p>
    <w:p w:rsidR="0060249E" w:rsidRDefault="0060249E">
      <w:pPr>
        <w:pStyle w:val="Ruller40"/>
        <w:rPr>
          <w:rFonts w:hint="cs"/>
          <w:rtl/>
        </w:rPr>
      </w:pPr>
      <w:r>
        <w:rPr>
          <w:rFonts w:hint="cs"/>
          <w:rtl/>
        </w:rPr>
        <w:t>2.</w:t>
      </w:r>
      <w:r>
        <w:rPr>
          <w:rFonts w:hint="cs"/>
          <w:rtl/>
        </w:rPr>
        <w:tab/>
        <w:t xml:space="preserve">בפסק הדין נדחתה עתירתם של המערערים, המכוונת נגד החלטתה של ועדת הערר המחוזית במחוז תל-אביב, מיום 2.12.2010 (ערר </w:t>
      </w:r>
      <w:hyperlink r:id="rId26" w:history="1">
        <w:r w:rsidR="006D5E3B" w:rsidRPr="006D5E3B">
          <w:rPr>
            <w:color w:val="0000FF"/>
            <w:u w:val="single"/>
            <w:rtl/>
          </w:rPr>
          <w:t>ת"א 5231/10</w:t>
        </w:r>
      </w:hyperlink>
      <w:r>
        <w:rPr>
          <w:rFonts w:hint="cs"/>
          <w:rtl/>
        </w:rPr>
        <w:t xml:space="preserve">) </w:t>
      </w:r>
      <w:r w:rsidR="0091755B" w:rsidRPr="0091755B">
        <w:rPr>
          <w:rFonts w:ascii="Times New Roman" w:hAnsi="Times New Roman" w:cs="David"/>
          <w:spacing w:val="0"/>
          <w:szCs w:val="24"/>
          <w:rtl/>
        </w:rPr>
        <w:t xml:space="preserve">[פורסם בנבו] </w:t>
      </w:r>
      <w:r>
        <w:rPr>
          <w:rFonts w:hint="cs"/>
          <w:rtl/>
        </w:rPr>
        <w:t xml:space="preserve">(להלן: </w:t>
      </w:r>
      <w:r>
        <w:rPr>
          <w:rFonts w:ascii="Times New Roman" w:hAnsi="Times New Roman" w:cs="Miriam" w:hint="cs"/>
          <w:spacing w:val="0"/>
          <w:sz w:val="28"/>
          <w:szCs w:val="24"/>
          <w:rtl/>
        </w:rPr>
        <w:t>ועדת הערר</w:t>
      </w:r>
      <w:r>
        <w:rPr>
          <w:rFonts w:hint="cs"/>
          <w:rtl/>
        </w:rPr>
        <w:t>) שבגדרה התקבל ערר על החלטת הועדה המקומית לאשר למערערים "</w:t>
      </w:r>
      <w:r>
        <w:rPr>
          <w:rFonts w:ascii="Times New Roman" w:hAnsi="Times New Roman" w:cs="Miriam" w:hint="cs"/>
          <w:spacing w:val="0"/>
          <w:sz w:val="28"/>
          <w:szCs w:val="24"/>
          <w:rtl/>
        </w:rPr>
        <w:t>הקלה לגג שטוח במקום גג רעפים</w:t>
      </w:r>
      <w:r>
        <w:rPr>
          <w:rFonts w:hint="cs"/>
          <w:rtl/>
        </w:rPr>
        <w:t>", לאחר שימולאו תנאים מסויימים המפורטים בהחלטה.</w:t>
      </w:r>
    </w:p>
    <w:p w:rsidR="0060249E" w:rsidRDefault="0060249E">
      <w:pPr>
        <w:pStyle w:val="Ruller40"/>
        <w:rPr>
          <w:rFonts w:hint="cs"/>
          <w:rtl/>
        </w:rPr>
      </w:pPr>
    </w:p>
    <w:p w:rsidR="0060249E" w:rsidRDefault="0060249E">
      <w:pPr>
        <w:pStyle w:val="Ruller40"/>
        <w:rPr>
          <w:rFonts w:hint="cs"/>
          <w:rtl/>
        </w:rPr>
      </w:pPr>
      <w:r>
        <w:rPr>
          <w:rFonts w:hint="cs"/>
          <w:rtl/>
        </w:rPr>
        <w:t>3.</w:t>
      </w:r>
      <w:r>
        <w:rPr>
          <w:rFonts w:hint="cs"/>
          <w:rtl/>
        </w:rPr>
        <w:tab/>
        <w:t xml:space="preserve">המערערת 2 היא בעלת הזכויות בדירה, המצוייה בבית משותף ברח' אשרמן 31 בתל אביב (גוש 6163 חלקה 38) (להלן: </w:t>
      </w:r>
      <w:r>
        <w:rPr>
          <w:rFonts w:ascii="Times New Roman" w:hAnsi="Times New Roman" w:cs="Miriam" w:hint="cs"/>
          <w:spacing w:val="0"/>
          <w:sz w:val="28"/>
          <w:szCs w:val="24"/>
          <w:rtl/>
        </w:rPr>
        <w:t>הדירה</w:t>
      </w:r>
      <w:r>
        <w:rPr>
          <w:rFonts w:hint="cs"/>
          <w:rtl/>
        </w:rPr>
        <w:t xml:space="preserve">), והמערער 1 הוא בנה, אשר </w:t>
      </w:r>
      <w:r>
        <w:rPr>
          <w:rFonts w:hint="cs"/>
          <w:rtl/>
        </w:rPr>
        <w:lastRenderedPageBreak/>
        <w:t>מתגורר עמה בדירה. ערעור זה הינו הליך אחד מיני רבים, אשר ננקטו על-ידי המערערים, במטרה לקבל היתר לבניה הבלתי חוקית, אשר בוצעה על-ידם בדירה.</w:t>
      </w:r>
    </w:p>
    <w:p w:rsidR="0060249E" w:rsidRDefault="0060249E">
      <w:pPr>
        <w:pStyle w:val="Ruller40"/>
        <w:rPr>
          <w:rFonts w:hint="cs"/>
          <w:rtl/>
        </w:rPr>
      </w:pPr>
    </w:p>
    <w:p w:rsidR="0060249E" w:rsidRDefault="0060249E">
      <w:pPr>
        <w:pStyle w:val="Ruller40"/>
        <w:rPr>
          <w:rFonts w:hint="cs"/>
          <w:rtl/>
        </w:rPr>
      </w:pPr>
      <w:r>
        <w:rPr>
          <w:rFonts w:hint="cs"/>
          <w:rtl/>
        </w:rPr>
        <w:t>4.</w:t>
      </w:r>
      <w:r>
        <w:rPr>
          <w:rFonts w:hint="cs"/>
          <w:rtl/>
        </w:rPr>
        <w:tab/>
        <w:t xml:space="preserve">יצוין, כי נגד המערערים הוגש כתב אישום לבית המשפט לעניינים מקומיים בתל אביב, המייחס להם ביצוע עבודות בניה ללא היתר, לפי </w:t>
      </w:r>
      <w:hyperlink r:id="rId27" w:history="1">
        <w:r w:rsidR="00FE30BD" w:rsidRPr="00FE30BD">
          <w:rPr>
            <w:rStyle w:val="Hyperlink"/>
            <w:rFonts w:hint="eastAsia"/>
            <w:rtl/>
          </w:rPr>
          <w:t>סעיפים</w:t>
        </w:r>
        <w:r w:rsidR="00FE30BD" w:rsidRPr="00FE30BD">
          <w:rPr>
            <w:rStyle w:val="Hyperlink"/>
            <w:rtl/>
          </w:rPr>
          <w:t xml:space="preserve"> 145</w:t>
        </w:r>
      </w:hyperlink>
      <w:r>
        <w:rPr>
          <w:rFonts w:hint="cs"/>
          <w:rtl/>
        </w:rPr>
        <w:t xml:space="preserve"> ו-</w:t>
      </w:r>
      <w:hyperlink r:id="rId28" w:history="1">
        <w:r w:rsidR="00FE30BD" w:rsidRPr="00FE30BD">
          <w:rPr>
            <w:color w:val="0000FF"/>
            <w:u w:val="single"/>
            <w:rtl/>
          </w:rPr>
          <w:t>204(א)</w:t>
        </w:r>
      </w:hyperlink>
      <w:r>
        <w:rPr>
          <w:rFonts w:hint="cs"/>
          <w:rtl/>
        </w:rPr>
        <w:t xml:space="preserve"> ל</w:t>
      </w:r>
      <w:hyperlink r:id="rId29" w:history="1">
        <w:r w:rsidR="00665961" w:rsidRPr="00665961">
          <w:rPr>
            <w:color w:val="0000FF"/>
            <w:u w:val="single"/>
            <w:rtl/>
          </w:rPr>
          <w:t>חוק התכנון והבניה</w:t>
        </w:r>
      </w:hyperlink>
      <w:r>
        <w:rPr>
          <w:rFonts w:hint="cs"/>
          <w:rtl/>
        </w:rPr>
        <w:t xml:space="preserve">, התשכ"א-1965 (להלן: </w:t>
      </w:r>
      <w:r>
        <w:rPr>
          <w:rFonts w:ascii="Times New Roman" w:hAnsi="Times New Roman" w:cs="Miriam" w:hint="cs"/>
          <w:spacing w:val="0"/>
          <w:sz w:val="28"/>
          <w:szCs w:val="24"/>
          <w:rtl/>
        </w:rPr>
        <w:t>חוק התכנון והבניה</w:t>
      </w:r>
      <w:r>
        <w:rPr>
          <w:rFonts w:hint="cs"/>
          <w:rtl/>
        </w:rPr>
        <w:t>). בכתב האישום נטען כי בחודש אפריל 2003 ביצעו המערערים עבודות בניה בדירה, ללא קבלת היתר. ביום 14.12.2009, הורשעו המערערים בעבירה שיוחסה להם, לאחר שהודו בביצוע הבניה ללא היתר, ומשנדחתה טענתם בדבר הגנה מן הצדק, והם חוייבו בהריסת המבנה שנבנה, כאמור, באורח בלתי חוקי, ובקנס בשיעור של 4,000 ₪.</w:t>
      </w:r>
    </w:p>
    <w:p w:rsidR="0060249E" w:rsidRDefault="0060249E">
      <w:pPr>
        <w:pStyle w:val="Ruller40"/>
        <w:rPr>
          <w:rFonts w:hint="cs"/>
          <w:rtl/>
        </w:rPr>
      </w:pPr>
    </w:p>
    <w:p w:rsidR="0060249E" w:rsidRDefault="0060249E" w:rsidP="0091755B">
      <w:pPr>
        <w:pStyle w:val="Ruller40"/>
        <w:rPr>
          <w:rFonts w:hint="cs"/>
          <w:rtl/>
        </w:rPr>
      </w:pPr>
      <w:r>
        <w:rPr>
          <w:rFonts w:hint="cs"/>
          <w:rtl/>
        </w:rPr>
        <w:tab/>
        <w:t>ערעור שהוגש על-ידי המערערים לבית המשפט המחוזי בתל אביב-יפו, נדחה (</w:t>
      </w:r>
      <w:hyperlink r:id="rId30" w:history="1">
        <w:r w:rsidR="006D5E3B" w:rsidRPr="006D5E3B">
          <w:rPr>
            <w:color w:val="0000FF"/>
            <w:u w:val="single"/>
            <w:rtl/>
          </w:rPr>
          <w:t>עפ"א 32213-12-09</w:t>
        </w:r>
      </w:hyperlink>
      <w:r>
        <w:rPr>
          <w:rFonts w:hint="cs"/>
          <w:rtl/>
        </w:rPr>
        <w:t>)</w:t>
      </w:r>
      <w:r w:rsidR="0091755B">
        <w:rPr>
          <w:rFonts w:hint="cs"/>
          <w:rtl/>
        </w:rPr>
        <w:t xml:space="preserve">, </w:t>
      </w:r>
      <w:r w:rsidR="0091755B" w:rsidRPr="0091755B">
        <w:rPr>
          <w:rFonts w:ascii="Times New Roman" w:hAnsi="Times New Roman" w:cs="David"/>
          <w:spacing w:val="0"/>
          <w:szCs w:val="24"/>
          <w:rtl/>
        </w:rPr>
        <w:t>[פורסם בנבו]</w:t>
      </w:r>
      <w:r>
        <w:rPr>
          <w:rFonts w:hint="cs"/>
          <w:rtl/>
        </w:rPr>
        <w:t xml:space="preserve">, ובהמשך נדחתה על-ידי חברי, השופט </w:t>
      </w:r>
      <w:r>
        <w:rPr>
          <w:rFonts w:ascii="Times New Roman" w:hAnsi="Times New Roman" w:cs="Miriam" w:hint="cs"/>
          <w:spacing w:val="0"/>
          <w:sz w:val="28"/>
          <w:szCs w:val="24"/>
          <w:rtl/>
        </w:rPr>
        <w:t>ס' ג'ובראן</w:t>
      </w:r>
      <w:r>
        <w:rPr>
          <w:rFonts w:ascii="Times New Roman" w:hAnsi="Times New Roman" w:hint="cs"/>
          <w:rtl/>
        </w:rPr>
        <w:t>,</w:t>
      </w:r>
      <w:r>
        <w:rPr>
          <w:rFonts w:ascii="Times New Roman" w:hAnsi="Times New Roman" w:cs="Miriam" w:hint="cs"/>
          <w:spacing w:val="0"/>
          <w:sz w:val="28"/>
          <w:szCs w:val="24"/>
          <w:rtl/>
        </w:rPr>
        <w:t xml:space="preserve"> </w:t>
      </w:r>
      <w:r>
        <w:rPr>
          <w:rFonts w:hint="cs"/>
          <w:rtl/>
        </w:rPr>
        <w:t>בקשת רשות ערעור שהוגשה לבית משפט זה (</w:t>
      </w:r>
      <w:hyperlink r:id="rId31" w:history="1">
        <w:r w:rsidR="006D5E3B" w:rsidRPr="006D5E3B">
          <w:rPr>
            <w:color w:val="0000FF"/>
            <w:u w:val="single"/>
            <w:rtl/>
          </w:rPr>
          <w:t>רע"פ 1601/11</w:t>
        </w:r>
      </w:hyperlink>
      <w:r>
        <w:rPr>
          <w:rFonts w:hint="cs"/>
          <w:rtl/>
        </w:rPr>
        <w:t xml:space="preserve">, </w:t>
      </w:r>
      <w:r w:rsidR="0091755B" w:rsidRPr="0091755B">
        <w:rPr>
          <w:rFonts w:ascii="Times New Roman" w:hAnsi="Times New Roman" w:cs="David"/>
          <w:spacing w:val="0"/>
          <w:szCs w:val="24"/>
          <w:rtl/>
        </w:rPr>
        <w:t xml:space="preserve">[פורסם בנבו] </w:t>
      </w:r>
      <w:r>
        <w:rPr>
          <w:rFonts w:hint="cs"/>
          <w:rtl/>
        </w:rPr>
        <w:t>מיום 28.2.2011).</w:t>
      </w:r>
    </w:p>
    <w:p w:rsidR="0060249E" w:rsidRDefault="0060249E">
      <w:pPr>
        <w:pStyle w:val="Ruller40"/>
        <w:rPr>
          <w:rFonts w:hint="cs"/>
          <w:rtl/>
        </w:rPr>
      </w:pPr>
    </w:p>
    <w:p w:rsidR="0060249E" w:rsidRDefault="0060249E">
      <w:pPr>
        <w:pStyle w:val="Ruller40"/>
        <w:rPr>
          <w:rFonts w:hint="cs"/>
          <w:rtl/>
        </w:rPr>
      </w:pPr>
      <w:r>
        <w:rPr>
          <w:rFonts w:hint="cs"/>
          <w:rtl/>
        </w:rPr>
        <w:t>5.</w:t>
      </w:r>
      <w:r>
        <w:rPr>
          <w:rFonts w:hint="cs"/>
          <w:rtl/>
        </w:rPr>
        <w:tab/>
        <w:t xml:space="preserve">ביום 28.4.2011, הוגש נגד המערערים כתב אישום נוסף לבית המשפט לעניינים מקומיים בתל אביב, בגין ביצוע עבירה של אי קיום צו בית משפט, לפי </w:t>
      </w:r>
      <w:hyperlink r:id="rId32" w:history="1">
        <w:r w:rsidR="00FE30BD" w:rsidRPr="00FE30BD">
          <w:rPr>
            <w:color w:val="0000FF"/>
            <w:u w:val="single"/>
            <w:rtl/>
          </w:rPr>
          <w:t>סעיף 210</w:t>
        </w:r>
      </w:hyperlink>
      <w:r>
        <w:rPr>
          <w:rFonts w:hint="cs"/>
          <w:rtl/>
        </w:rPr>
        <w:t xml:space="preserve"> ל</w:t>
      </w:r>
      <w:hyperlink r:id="rId33" w:history="1">
        <w:r w:rsidR="00665961" w:rsidRPr="00665961">
          <w:rPr>
            <w:color w:val="0000FF"/>
            <w:u w:val="single"/>
            <w:rtl/>
          </w:rPr>
          <w:t>חוק התכנון והבניה</w:t>
        </w:r>
      </w:hyperlink>
      <w:r>
        <w:rPr>
          <w:rFonts w:hint="cs"/>
          <w:rtl/>
        </w:rPr>
        <w:t>. בכתב האישום נטען, כי בהתאם לקביעת בית המשפט, היה על המערערים להרוס, עד ליום 14.4.2010, את המבנה שנבנה על-ידם שלא כדין, אך עד למועד הגשת כתב האישום הם לא עשו כן. בדיון שהתקיים, ביום 15.10.2012, בבית המשפט לעניינים מקומיים טען בא כוחו של המערער 1, כי לאור מצבו הנפשי של המערער והיותו מטופל במרפאה לבריאות הנפש, יש לבדוק אם הוא כשיר לעמוד לדין. בית המשפט הורה להעמיד לרשות הסנגור את החומר הרפואי המצוי במרפאה לבריאות הנפש ברמת חן, על-מנת שהוא יוכל לכלכל את צעדיו בנדון. מהחומר שהוצג לפנינו, לא ברור אם היה המשך לדיון זה, אך אין כל ספק כי המערערים לא ביצעו את צו ההריסה, עד לעצם הימים האלה.</w:t>
      </w:r>
    </w:p>
    <w:p w:rsidR="0060249E" w:rsidRDefault="0060249E">
      <w:pPr>
        <w:pStyle w:val="Ruller40"/>
        <w:rPr>
          <w:rFonts w:hint="cs"/>
          <w:rtl/>
        </w:rPr>
      </w:pPr>
    </w:p>
    <w:p w:rsidR="0060249E" w:rsidRDefault="0060249E">
      <w:pPr>
        <w:pStyle w:val="Ruller40"/>
        <w:rPr>
          <w:rFonts w:hint="cs"/>
          <w:rtl/>
        </w:rPr>
      </w:pPr>
      <w:r>
        <w:rPr>
          <w:rFonts w:hint="cs"/>
          <w:rtl/>
        </w:rPr>
        <w:tab/>
        <w:t>יצוין, כי המערערים הגישו בקשה לבית משפט זה "</w:t>
      </w:r>
      <w:r>
        <w:rPr>
          <w:rFonts w:ascii="Times New Roman" w:hAnsi="Times New Roman" w:cs="Miriam" w:hint="cs"/>
          <w:spacing w:val="0"/>
          <w:sz w:val="28"/>
          <w:szCs w:val="24"/>
          <w:rtl/>
        </w:rPr>
        <w:t>להקפאת</w:t>
      </w:r>
      <w:r>
        <w:rPr>
          <w:rFonts w:hint="cs"/>
          <w:rtl/>
        </w:rPr>
        <w:t xml:space="preserve">" ההליך הפלילי המתנהל נגדם, עד להכרעה בערעור המונח לפנינו, אך הבקשה נדחתה על-ידי השופטת </w:t>
      </w:r>
      <w:r>
        <w:rPr>
          <w:rFonts w:ascii="Times New Roman" w:hAnsi="Times New Roman" w:cs="Miriam" w:hint="cs"/>
          <w:spacing w:val="0"/>
          <w:sz w:val="28"/>
          <w:szCs w:val="24"/>
          <w:rtl/>
        </w:rPr>
        <w:t>א' חיות</w:t>
      </w:r>
      <w:r>
        <w:rPr>
          <w:rFonts w:hint="cs"/>
          <w:rtl/>
        </w:rPr>
        <w:t>, ביום 29.9.2012, תוך הדגשה כי אין לכרוך את ההליך הפלילי עם העתירה המנהלית והערעור שבא בעקבותיה.</w:t>
      </w:r>
    </w:p>
    <w:p w:rsidR="0060249E" w:rsidRDefault="0060249E">
      <w:pPr>
        <w:pStyle w:val="Ruller40"/>
        <w:rPr>
          <w:rFonts w:hint="cs"/>
          <w:rtl/>
        </w:rPr>
      </w:pPr>
    </w:p>
    <w:p w:rsidR="0060249E" w:rsidRDefault="0060249E">
      <w:pPr>
        <w:pStyle w:val="Ruller40"/>
        <w:rPr>
          <w:rFonts w:ascii="Times New Roman" w:hAnsi="Times New Roman" w:cs="Miriam" w:hint="cs"/>
          <w:spacing w:val="0"/>
          <w:sz w:val="28"/>
          <w:szCs w:val="24"/>
          <w:rtl/>
        </w:rPr>
      </w:pPr>
      <w:r>
        <w:rPr>
          <w:rFonts w:ascii="Times New Roman" w:hAnsi="Times New Roman" w:cs="Miriam" w:hint="cs"/>
          <w:spacing w:val="0"/>
          <w:sz w:val="28"/>
          <w:szCs w:val="24"/>
          <w:rtl/>
        </w:rPr>
        <w:t>תיאור ההליכים הקודמים</w:t>
      </w:r>
    </w:p>
    <w:p w:rsidR="0060249E" w:rsidRDefault="0060249E">
      <w:pPr>
        <w:pStyle w:val="Ruller40"/>
        <w:rPr>
          <w:rFonts w:hint="cs"/>
          <w:rtl/>
        </w:rPr>
      </w:pPr>
    </w:p>
    <w:p w:rsidR="0060249E" w:rsidRDefault="0060249E">
      <w:pPr>
        <w:pStyle w:val="Ruller40"/>
        <w:rPr>
          <w:rFonts w:hint="cs"/>
          <w:rtl/>
        </w:rPr>
      </w:pPr>
      <w:r>
        <w:rPr>
          <w:rFonts w:hint="cs"/>
          <w:rtl/>
        </w:rPr>
        <w:t>6.</w:t>
      </w:r>
      <w:r>
        <w:rPr>
          <w:rFonts w:hint="cs"/>
          <w:rtl/>
        </w:rPr>
        <w:tab/>
        <w:t>הרקע להתדיינויות המשפטיות, בנוגע לבניה בדירה, נעוץ בתב"ע 2691, שהופקדה ביום 6.10.1996 ונכנסה לתוקף ביום 11.2.1997, ואשר מתייחסת, בין היתר, לבניין שהוקם בשנת 1954, המצוי ברח' אשרמן 31 בתל אביב. המדובר "</w:t>
      </w:r>
      <w:r>
        <w:rPr>
          <w:rFonts w:ascii="Times New Roman" w:hAnsi="Times New Roman" w:cs="Miriam" w:hint="cs"/>
          <w:spacing w:val="0"/>
          <w:sz w:val="28"/>
          <w:szCs w:val="24"/>
          <w:rtl/>
        </w:rPr>
        <w:t>בבניין טורי בן 3 קומות המכיל 18 יחידות דיור</w:t>
      </w:r>
      <w:r>
        <w:rPr>
          <w:rFonts w:hint="cs"/>
          <w:rtl/>
        </w:rPr>
        <w:t>".</w:t>
      </w:r>
    </w:p>
    <w:p w:rsidR="0060249E" w:rsidRDefault="0060249E">
      <w:pPr>
        <w:pStyle w:val="Ruller40"/>
        <w:rPr>
          <w:rFonts w:hint="cs"/>
          <w:rtl/>
        </w:rPr>
      </w:pPr>
    </w:p>
    <w:p w:rsidR="0060249E" w:rsidRDefault="0060249E">
      <w:pPr>
        <w:pStyle w:val="Ruller40"/>
        <w:rPr>
          <w:rFonts w:hint="cs"/>
          <w:rtl/>
        </w:rPr>
      </w:pPr>
      <w:r>
        <w:rPr>
          <w:rFonts w:hint="cs"/>
          <w:rtl/>
        </w:rPr>
        <w:tab/>
        <w:t>לפי התב"ע, לכל דירה ששטחה 64 מ"ר "</w:t>
      </w:r>
      <w:r>
        <w:rPr>
          <w:rFonts w:ascii="Times New Roman" w:hAnsi="Times New Roman" w:cs="Miriam" w:hint="cs"/>
          <w:spacing w:val="0"/>
          <w:sz w:val="28"/>
          <w:szCs w:val="24"/>
          <w:rtl/>
        </w:rPr>
        <w:t>תותר תוספת בניה של עד 100 מ"ר, כאשר הבניה תהיה ברצף מלמטה כלפי מעלה</w:t>
      </w:r>
      <w:r>
        <w:rPr>
          <w:rFonts w:hint="cs"/>
          <w:rtl/>
        </w:rPr>
        <w:t>". בנוסף, נקבע כי "</w:t>
      </w:r>
      <w:r>
        <w:rPr>
          <w:rFonts w:ascii="Times New Roman" w:hAnsi="Times New Roman" w:cs="Miriam" w:hint="cs"/>
          <w:spacing w:val="0"/>
          <w:sz w:val="28"/>
          <w:szCs w:val="24"/>
          <w:rtl/>
        </w:rPr>
        <w:t>תוספת הבניה תהיה על-פי טיפוס ג/64 בתכנית 2327</w:t>
      </w:r>
      <w:r>
        <w:rPr>
          <w:rFonts w:hint="cs"/>
          <w:rtl/>
        </w:rPr>
        <w:t>". עיון בתכנית מפורטת 2327 מלמד כי, בהתאם לתקנות הבניה המפורטות בתכנית, בדירות מטיפוס ג/64 "</w:t>
      </w:r>
      <w:r>
        <w:rPr>
          <w:rFonts w:ascii="Times New Roman" w:hAnsi="Times New Roman" w:cs="Miriam" w:hint="cs"/>
          <w:spacing w:val="0"/>
          <w:sz w:val="28"/>
          <w:szCs w:val="24"/>
          <w:rtl/>
        </w:rPr>
        <w:t>כל הגגות בקומה העליונה יהיו גגות רעפים</w:t>
      </w:r>
      <w:r>
        <w:rPr>
          <w:rFonts w:hint="cs"/>
          <w:rtl/>
        </w:rPr>
        <w:t>". יצוין כי התכנית 2327, אשר נכנסה לתוקף בשנת 1986, נועדה ל"</w:t>
      </w:r>
      <w:r>
        <w:rPr>
          <w:rFonts w:ascii="Times New Roman" w:hAnsi="Times New Roman" w:cs="Miriam" w:hint="cs"/>
          <w:spacing w:val="0"/>
          <w:sz w:val="28"/>
          <w:szCs w:val="24"/>
          <w:rtl/>
        </w:rPr>
        <w:t>שיפור תנאי הדיור בשכונה ע"י הוספת שטחי בניה ושיפוץ בתים עפ"י תוכניות אחידות לתוספות הבניה השונות, ללא תוספות יחידות דיור, ושימור של חזות השכונה ע"י הגבלת נפח המבנים וחומרי בניה מתאימים</w:t>
      </w:r>
      <w:r>
        <w:rPr>
          <w:rFonts w:hint="cs"/>
          <w:rtl/>
        </w:rPr>
        <w:t xml:space="preserve">". </w:t>
      </w:r>
    </w:p>
    <w:p w:rsidR="0060249E" w:rsidRDefault="0060249E">
      <w:pPr>
        <w:pStyle w:val="Ruller40"/>
        <w:rPr>
          <w:rFonts w:hint="cs"/>
          <w:rtl/>
        </w:rPr>
      </w:pPr>
    </w:p>
    <w:p w:rsidR="0060249E" w:rsidRDefault="0060249E">
      <w:pPr>
        <w:pStyle w:val="Ruller40"/>
        <w:rPr>
          <w:rFonts w:hint="cs"/>
          <w:rtl/>
        </w:rPr>
      </w:pPr>
      <w:r>
        <w:rPr>
          <w:rFonts w:hint="cs"/>
          <w:rtl/>
        </w:rPr>
        <w:t>7.</w:t>
      </w:r>
      <w:r>
        <w:rPr>
          <w:rFonts w:hint="cs"/>
          <w:rtl/>
        </w:rPr>
        <w:tab/>
        <w:t xml:space="preserve">אין חולק, כי המערערים הרחיבו את דירתם ללא קבלת היתר בניה כדין, ומעל ההרחבה בדירה הם יצרו גג שטוח, המוקף משלושת צדדיו במעקה בנוי בגובה </w:t>
      </w:r>
      <w:smartTag w:uri="urn:schemas-microsoft-com:office:smarttags" w:element="metricconverter">
        <w:smartTagPr>
          <w:attr w:name="ProductID" w:val="1.40 מ'"/>
        </w:smartTagPr>
        <w:r>
          <w:rPr>
            <w:rFonts w:hint="cs"/>
            <w:rtl/>
          </w:rPr>
          <w:t>1.40 מ'</w:t>
        </w:r>
      </w:smartTag>
      <w:r>
        <w:rPr>
          <w:rFonts w:hint="cs"/>
          <w:rtl/>
        </w:rPr>
        <w:t>, באופן המנוגד לתכנית 2327, שבמסגרתה נדרש כי כל הגגות בקומה העליונה, יהיו גגות רעפים.</w:t>
      </w:r>
    </w:p>
    <w:p w:rsidR="0060249E" w:rsidRDefault="0060249E">
      <w:pPr>
        <w:pStyle w:val="Ruller40"/>
        <w:rPr>
          <w:rFonts w:hint="cs"/>
          <w:rtl/>
        </w:rPr>
      </w:pPr>
    </w:p>
    <w:p w:rsidR="0060249E" w:rsidRDefault="0060249E">
      <w:pPr>
        <w:pStyle w:val="Ruller40"/>
        <w:rPr>
          <w:rFonts w:hint="cs"/>
          <w:rtl/>
        </w:rPr>
      </w:pPr>
      <w:r>
        <w:rPr>
          <w:rFonts w:hint="cs"/>
          <w:rtl/>
        </w:rPr>
        <w:tab/>
        <w:t xml:space="preserve">המערערים הגישו, בדיעבד, בקשה להיתר בניה, לשם הכשרת הבניה הבלתי חוקית שבוצעה על-ידם. ביום 8.10.2003, החליטה הועדה המקומית בתל-אביב שלא ליתן למערערים היתר בניה, והורתה להם להנמיך את גובה המעקה לכדי </w:t>
      </w:r>
      <w:smartTag w:uri="urn:schemas-microsoft-com:office:smarttags" w:element="metricconverter">
        <w:smartTagPr>
          <w:attr w:name="ProductID" w:val="40 ס&quot;מ"/>
        </w:smartTagPr>
        <w:r>
          <w:rPr>
            <w:rFonts w:hint="cs"/>
            <w:rtl/>
          </w:rPr>
          <w:t>40 ס"מ</w:t>
        </w:r>
      </w:smartTag>
      <w:r>
        <w:rPr>
          <w:rFonts w:hint="cs"/>
          <w:rtl/>
        </w:rPr>
        <w:t>, על-מנת שניתן יהיה להקים במקום גג רעפים. עוד קבעה הועדה המקומית, כי אם המערערים מעוניינים לקבל היתר בניה לגג שטוח, עליהם להגיש בקשה להקלה מהוראות התכנית. המערערים הגישו ערר לועדת הערר המחוזית, על החלטת הועדה המקומית, אשר נדחה ביום 14.6.2004. ועדת הערר קבעה כי על המערערים להגיש בקשה להקלה, שכן תכנית 2327, החלה על בניין מטיפוס ג/64, קובעת מפורשות כי נדרש גג רעפים בקומות העליונות.</w:t>
      </w:r>
    </w:p>
    <w:p w:rsidR="0060249E" w:rsidRDefault="0060249E">
      <w:pPr>
        <w:pStyle w:val="Ruller40"/>
        <w:rPr>
          <w:rFonts w:hint="cs"/>
          <w:rtl/>
        </w:rPr>
      </w:pPr>
    </w:p>
    <w:p w:rsidR="0060249E" w:rsidRDefault="0060249E">
      <w:pPr>
        <w:pStyle w:val="Ruller40"/>
        <w:rPr>
          <w:rFonts w:hint="cs"/>
          <w:rtl/>
        </w:rPr>
      </w:pPr>
      <w:r>
        <w:rPr>
          <w:rFonts w:hint="cs"/>
          <w:rtl/>
        </w:rPr>
        <w:lastRenderedPageBreak/>
        <w:t>8.</w:t>
      </w:r>
      <w:r>
        <w:rPr>
          <w:rFonts w:hint="cs"/>
          <w:rtl/>
        </w:rPr>
        <w:tab/>
        <w:t>המערערים לא השלימו עם החלטת ועדת הערר והגישו עתירה מנהלית לבית המשפט המחוזי בתל אביב-יפו, בשבתו כבית משפט לעניינים מנהליים. בעתירתם ביקשו המערערים שלושה סעדים, אך אנו נתמקד בסעד שעניינו "</w:t>
      </w:r>
      <w:r>
        <w:rPr>
          <w:rFonts w:ascii="Times New Roman" w:hAnsi="Times New Roman" w:cs="Miriam" w:hint="cs"/>
          <w:spacing w:val="0"/>
          <w:sz w:val="28"/>
          <w:szCs w:val="24"/>
          <w:rtl/>
        </w:rPr>
        <w:t xml:space="preserve">חיוב הוועדה המקומית לתכנון ולבניה ת"א... לתת ביד </w:t>
      </w:r>
      <w:r>
        <w:rPr>
          <w:rFonts w:ascii="Times New Roman" w:hAnsi="Times New Roman" w:hint="cs"/>
          <w:rtl/>
        </w:rPr>
        <w:t>[המערערים]</w:t>
      </w:r>
      <w:r>
        <w:rPr>
          <w:rFonts w:ascii="Times New Roman" w:hAnsi="Times New Roman" w:cs="Miriam" w:hint="cs"/>
          <w:spacing w:val="0"/>
          <w:sz w:val="28"/>
          <w:szCs w:val="24"/>
          <w:rtl/>
        </w:rPr>
        <w:t xml:space="preserve"> היתר בניה להרחבת דירתם</w:t>
      </w:r>
      <w:r>
        <w:rPr>
          <w:rFonts w:hint="cs"/>
          <w:rtl/>
        </w:rPr>
        <w:t xml:space="preserve">". המערערים טענו כי הליך ההקלה מיותר, לאור הוראת סעיף 12(ב) בתכנית 2327, אך טענתם לעניין זה נדחתה, ונקבע על-ידי בית המשפט, מפי כב' השופט </w:t>
      </w:r>
      <w:r>
        <w:rPr>
          <w:rFonts w:ascii="Times New Roman" w:hAnsi="Times New Roman" w:cs="Miriam" w:hint="cs"/>
          <w:spacing w:val="0"/>
          <w:sz w:val="28"/>
          <w:szCs w:val="24"/>
          <w:rtl/>
        </w:rPr>
        <w:t>ע' מודריק</w:t>
      </w:r>
      <w:r>
        <w:rPr>
          <w:rFonts w:hint="cs"/>
          <w:rtl/>
        </w:rPr>
        <w:t>, כי:</w:t>
      </w:r>
    </w:p>
    <w:p w:rsidR="0060249E" w:rsidRDefault="0060249E">
      <w:pPr>
        <w:pStyle w:val="Ruller40"/>
        <w:rPr>
          <w:rFonts w:hint="cs"/>
          <w:rtl/>
        </w:rPr>
      </w:pPr>
    </w:p>
    <w:p w:rsidR="0060249E" w:rsidRDefault="0060249E">
      <w:pPr>
        <w:pStyle w:val="Ruller5"/>
        <w:rPr>
          <w:rFonts w:hint="cs"/>
          <w:rtl/>
        </w:rPr>
      </w:pPr>
      <w:r>
        <w:rPr>
          <w:rFonts w:hint="cs"/>
          <w:rtl/>
        </w:rPr>
        <w:t>"ברור כשמש כי בקשה להיתר החורג מדרישות התב"ע במובן של בניית גג שטוח, היא בקשה להקלה המצריכה, באורח עקרוני נקיטת הליכי הקלה בהתאם להוראות סעיף 149 ל</w:t>
      </w:r>
      <w:hyperlink r:id="rId34" w:history="1">
        <w:r w:rsidR="00665961" w:rsidRPr="00665961">
          <w:rPr>
            <w:color w:val="0000FF"/>
            <w:u w:val="single"/>
            <w:rtl/>
          </w:rPr>
          <w:t>חוק התכנון והבניה</w:t>
        </w:r>
      </w:hyperlink>
      <w:r>
        <w:rPr>
          <w:rFonts w:hint="cs"/>
          <w:rtl/>
        </w:rPr>
        <w:t>" (</w:t>
      </w:r>
      <w:hyperlink r:id="rId35" w:history="1">
        <w:r w:rsidR="006D5E3B" w:rsidRPr="006D5E3B">
          <w:rPr>
            <w:color w:val="0000FF"/>
            <w:u w:val="single"/>
            <w:rtl/>
          </w:rPr>
          <w:t>עת"מ (ת"א) 3012/14</w:t>
        </w:r>
      </w:hyperlink>
      <w:r>
        <w:rPr>
          <w:rFonts w:hint="cs"/>
          <w:rtl/>
        </w:rPr>
        <w:t xml:space="preserve"> </w:t>
      </w:r>
      <w:r>
        <w:rPr>
          <w:rFonts w:ascii="Times New Roman" w:hAnsi="Times New Roman" w:cs="Miriam" w:hint="cs"/>
          <w:spacing w:val="0"/>
          <w:sz w:val="28"/>
          <w:szCs w:val="24"/>
          <w:rtl/>
        </w:rPr>
        <w:t>טווקולי נ' שוטה חובל</w:t>
      </w:r>
      <w:r>
        <w:rPr>
          <w:rFonts w:hint="cs"/>
          <w:rtl/>
        </w:rPr>
        <w:t xml:space="preserve"> </w:t>
      </w:r>
      <w:r w:rsidR="0091755B" w:rsidRPr="0091755B">
        <w:rPr>
          <w:rFonts w:ascii="Times New Roman" w:hAnsi="Times New Roman" w:cs="David"/>
          <w:spacing w:val="0"/>
          <w:szCs w:val="24"/>
          <w:rtl/>
        </w:rPr>
        <w:t xml:space="preserve">[פורסם בנבו] </w:t>
      </w:r>
      <w:r>
        <w:rPr>
          <w:rFonts w:hint="cs"/>
          <w:rtl/>
        </w:rPr>
        <w:t>(22.8.2005)).          </w:t>
      </w:r>
      <w:r>
        <w:rPr>
          <w:rFonts w:hint="cs"/>
          <w:rtl/>
        </w:rPr>
        <w:tab/>
      </w:r>
    </w:p>
    <w:p w:rsidR="0060249E" w:rsidRDefault="0060249E">
      <w:pPr>
        <w:pStyle w:val="Ruller40"/>
        <w:rPr>
          <w:rFonts w:hint="cs"/>
          <w:rtl/>
        </w:rPr>
      </w:pPr>
    </w:p>
    <w:p w:rsidR="0060249E" w:rsidRDefault="0060249E">
      <w:pPr>
        <w:pStyle w:val="Ruller40"/>
        <w:rPr>
          <w:rFonts w:hint="cs"/>
          <w:rtl/>
        </w:rPr>
      </w:pPr>
      <w:r>
        <w:rPr>
          <w:rFonts w:hint="cs"/>
          <w:rtl/>
        </w:rPr>
        <w:t>9.</w:t>
      </w:r>
      <w:r>
        <w:rPr>
          <w:rFonts w:hint="cs"/>
          <w:rtl/>
        </w:rPr>
        <w:tab/>
        <w:t xml:space="preserve">על פסק דינו של כב' השופט </w:t>
      </w:r>
      <w:r>
        <w:rPr>
          <w:rFonts w:ascii="Times New Roman" w:hAnsi="Times New Roman" w:cs="Miriam" w:hint="cs"/>
          <w:spacing w:val="0"/>
          <w:sz w:val="28"/>
          <w:szCs w:val="24"/>
          <w:rtl/>
        </w:rPr>
        <w:t>ע' מודריק</w:t>
      </w:r>
      <w:r>
        <w:rPr>
          <w:rFonts w:hint="cs"/>
          <w:rtl/>
        </w:rPr>
        <w:t xml:space="preserve">, הוגש ערעור לבית משפט זה, וככל שמדובר בדרישה לקבלת היתר בניה, נקבע בפסק הדין כהאי לישנא: </w:t>
      </w:r>
    </w:p>
    <w:p w:rsidR="0060249E" w:rsidRDefault="0060249E">
      <w:pPr>
        <w:pStyle w:val="Ruller40"/>
        <w:rPr>
          <w:rFonts w:hint="cs"/>
          <w:rtl/>
        </w:rPr>
      </w:pPr>
    </w:p>
    <w:p w:rsidR="0060249E" w:rsidRDefault="0060249E">
      <w:pPr>
        <w:pStyle w:val="Ruller5"/>
        <w:rPr>
          <w:rFonts w:hint="cs"/>
          <w:rtl/>
        </w:rPr>
      </w:pPr>
      <w:r>
        <w:rPr>
          <w:rFonts w:hint="cs"/>
          <w:rtl/>
        </w:rPr>
        <w:t>"מסקנתו של בית המשפט לפיה אין מקום להתערב בהחלטת ועדת הערר כי יש לנקוט בהליך של הקלה, מקובלת עלינו. משמבקשים המערערים לחרוג מהוראות התכנית המחייבות בניית גג רעפים, עליהם לנקוט בהליך של הקלה, כפי שמתחייב במקרה של סטייה מהוראות התכנית ... מקובלת עלינו גם מסקנתו של בית המשפט, לפיה בהוראת סעיף 12(ב) לתכנית 2327, אליה הפנו המערערים, אין כדי לפטור אותם מן החובה לקיים הליך של הקלה" (</w:t>
      </w:r>
      <w:hyperlink r:id="rId36" w:history="1">
        <w:r w:rsidR="006D5E3B" w:rsidRPr="006D5E3B">
          <w:rPr>
            <w:color w:val="0000FF"/>
            <w:u w:val="single"/>
            <w:rtl/>
          </w:rPr>
          <w:t>עע"ם 9168/05</w:t>
        </w:r>
      </w:hyperlink>
      <w:r>
        <w:rPr>
          <w:rFonts w:hint="cs"/>
          <w:rtl/>
        </w:rPr>
        <w:t xml:space="preserve"> </w:t>
      </w:r>
      <w:r>
        <w:rPr>
          <w:rFonts w:ascii="Times New Roman" w:hAnsi="Times New Roman" w:cs="Miriam" w:hint="cs"/>
          <w:spacing w:val="0"/>
          <w:sz w:val="28"/>
          <w:szCs w:val="24"/>
          <w:rtl/>
        </w:rPr>
        <w:t>טווקולי נ' שוטה חובל</w:t>
      </w:r>
      <w:r>
        <w:rPr>
          <w:rFonts w:hint="cs"/>
          <w:rtl/>
        </w:rPr>
        <w:t xml:space="preserve"> </w:t>
      </w:r>
      <w:r w:rsidR="0091755B" w:rsidRPr="0091755B">
        <w:rPr>
          <w:rFonts w:ascii="Times New Roman" w:hAnsi="Times New Roman" w:cs="David"/>
          <w:spacing w:val="0"/>
          <w:szCs w:val="24"/>
          <w:rtl/>
        </w:rPr>
        <w:t xml:space="preserve">[פורסם בנבו] </w:t>
      </w:r>
      <w:r>
        <w:rPr>
          <w:rFonts w:hint="cs"/>
          <w:rtl/>
        </w:rPr>
        <w:t>(22.5.2008) בפסקה 6).</w:t>
      </w:r>
    </w:p>
    <w:p w:rsidR="0060249E" w:rsidRDefault="0060249E">
      <w:pPr>
        <w:pStyle w:val="Ruller40"/>
        <w:rPr>
          <w:rFonts w:hint="cs"/>
          <w:rtl/>
        </w:rPr>
      </w:pPr>
    </w:p>
    <w:p w:rsidR="0060249E" w:rsidRDefault="0060249E">
      <w:pPr>
        <w:pStyle w:val="Ruller40"/>
        <w:rPr>
          <w:rFonts w:hint="cs"/>
          <w:rtl/>
        </w:rPr>
      </w:pPr>
      <w:r>
        <w:rPr>
          <w:rFonts w:hint="cs"/>
          <w:rtl/>
        </w:rPr>
        <w:tab/>
        <w:t>עוד נאמר בפסק הדין, כי אין בדחיית ערעורם של המערערים בנושא זה, משום הבעת דעה לגוף הבקשה להקלה, לנוכח טענתם כי בחלקים אחרים של הפרוייקט אושרה בניית גג שטוח, ולא גג רעפים.</w:t>
      </w:r>
    </w:p>
    <w:p w:rsidR="0060249E" w:rsidRDefault="0060249E">
      <w:pPr>
        <w:pStyle w:val="Ruller40"/>
        <w:rPr>
          <w:rFonts w:hint="cs"/>
          <w:rtl/>
        </w:rPr>
      </w:pPr>
    </w:p>
    <w:p w:rsidR="0060249E" w:rsidRDefault="0060249E">
      <w:pPr>
        <w:pStyle w:val="Ruller40"/>
        <w:rPr>
          <w:rFonts w:hint="cs"/>
          <w:rtl/>
        </w:rPr>
      </w:pPr>
      <w:r>
        <w:rPr>
          <w:rFonts w:hint="cs"/>
          <w:rtl/>
        </w:rPr>
        <w:t>10.</w:t>
      </w:r>
      <w:r>
        <w:rPr>
          <w:rFonts w:hint="cs"/>
          <w:rtl/>
        </w:rPr>
        <w:tab/>
        <w:t xml:space="preserve">השלב הבא בהליכים המשפטיים, בא לידי ביטוי בפנייה אל הועדה המקומית לתכנון ובניה בתל אביב, בבקשה לאשר הקלה, שעניינה הקמת גג שטוח במקום גג רעפים. ביום 12.5.2010, החליטה ועדת משנה לתכנון ובניה (להלן: </w:t>
      </w:r>
      <w:r>
        <w:rPr>
          <w:rFonts w:ascii="Times New Roman" w:hAnsi="Times New Roman" w:cs="Miriam" w:hint="cs"/>
          <w:spacing w:val="0"/>
          <w:sz w:val="28"/>
          <w:szCs w:val="24"/>
          <w:rtl/>
        </w:rPr>
        <w:t>הועדה המקומית</w:t>
      </w:r>
      <w:r>
        <w:rPr>
          <w:rFonts w:hint="cs"/>
          <w:rtl/>
        </w:rPr>
        <w:t>) "</w:t>
      </w:r>
      <w:r>
        <w:rPr>
          <w:rFonts w:ascii="Times New Roman" w:hAnsi="Times New Roman" w:cs="Miriam" w:hint="cs"/>
          <w:spacing w:val="0"/>
          <w:sz w:val="28"/>
          <w:szCs w:val="24"/>
          <w:rtl/>
        </w:rPr>
        <w:t xml:space="preserve">לאשר את הבקשה להקלה לגג שטוח במקום גג רעפים, לאור העובדה שבבניין עצמו ובבניינים בסביבה ישנה בניה דומה של גגות שטוחים, אשר משתלבת עם הסביבה </w:t>
      </w:r>
      <w:r>
        <w:rPr>
          <w:rFonts w:ascii="Times New Roman" w:hAnsi="Times New Roman" w:cs="Miriam" w:hint="cs"/>
          <w:spacing w:val="0"/>
          <w:sz w:val="28"/>
          <w:szCs w:val="24"/>
          <w:rtl/>
        </w:rPr>
        <w:lastRenderedPageBreak/>
        <w:t>הקרובה...</w:t>
      </w:r>
      <w:r>
        <w:rPr>
          <w:rFonts w:hint="cs"/>
          <w:rtl/>
        </w:rPr>
        <w:t xml:space="preserve">". עם זאת, הוצבו מספר תנאים להענקת ההיתר, וביניהם הנמכת מעקה הגג לכדי </w:t>
      </w:r>
      <w:smartTag w:uri="urn:schemas-microsoft-com:office:smarttags" w:element="metricconverter">
        <w:smartTagPr>
          <w:attr w:name="ProductID" w:val="40 ס&quot;מ"/>
        </w:smartTagPr>
        <w:r>
          <w:rPr>
            <w:rFonts w:hint="cs"/>
            <w:rtl/>
          </w:rPr>
          <w:t>40 ס"מ</w:t>
        </w:r>
      </w:smartTag>
      <w:r>
        <w:rPr>
          <w:rFonts w:hint="cs"/>
          <w:rtl/>
        </w:rPr>
        <w:t>.</w:t>
      </w:r>
    </w:p>
    <w:p w:rsidR="0060249E" w:rsidRDefault="0060249E">
      <w:pPr>
        <w:pStyle w:val="Ruller40"/>
        <w:rPr>
          <w:rFonts w:hint="cs"/>
          <w:rtl/>
        </w:rPr>
      </w:pPr>
    </w:p>
    <w:p w:rsidR="0060249E" w:rsidRDefault="0060249E">
      <w:pPr>
        <w:pStyle w:val="Ruller40"/>
        <w:rPr>
          <w:rFonts w:hint="cs"/>
          <w:rtl/>
        </w:rPr>
      </w:pPr>
      <w:r>
        <w:rPr>
          <w:rFonts w:hint="cs"/>
          <w:rtl/>
        </w:rPr>
        <w:t>11.</w:t>
      </w:r>
      <w:r>
        <w:rPr>
          <w:rFonts w:hint="cs"/>
          <w:rtl/>
        </w:rPr>
        <w:tab/>
        <w:t>על החלטה זו הוגש ערר, על-ידי המשיב 2, המתגורר בבניין סמוך המצוי ברח' אשרמן 29, לועדת הערר המחוזית, אשר קיימה שתי ישיבות, בתאריכים 20.9.2010 ו-18.1.2010. החלטת הועדה ניתנה פה אחד ביום 2.12.2010.</w:t>
      </w:r>
    </w:p>
    <w:p w:rsidR="0060249E" w:rsidRDefault="0060249E">
      <w:pPr>
        <w:pStyle w:val="Ruller40"/>
        <w:rPr>
          <w:rFonts w:hint="cs"/>
          <w:rtl/>
        </w:rPr>
      </w:pPr>
    </w:p>
    <w:p w:rsidR="0060249E" w:rsidRDefault="0060249E">
      <w:pPr>
        <w:pStyle w:val="Ruller40"/>
        <w:rPr>
          <w:rFonts w:hint="cs"/>
          <w:rtl/>
        </w:rPr>
      </w:pPr>
      <w:r>
        <w:rPr>
          <w:rFonts w:hint="cs"/>
          <w:rtl/>
        </w:rPr>
        <w:tab/>
        <w:t xml:space="preserve">כחלק מהרקע העובדתי בהחלטת ועדת הערר, הופיע תיאור מפורט של המבנים הקיימים בגוש 6163 חלקה 38 (להלן: </w:t>
      </w:r>
      <w:r>
        <w:rPr>
          <w:rFonts w:ascii="Times New Roman" w:hAnsi="Times New Roman" w:cs="Miriam" w:hint="cs"/>
          <w:spacing w:val="0"/>
          <w:sz w:val="28"/>
          <w:szCs w:val="24"/>
          <w:rtl/>
        </w:rPr>
        <w:t>החלקה</w:t>
      </w:r>
      <w:r>
        <w:rPr>
          <w:rFonts w:hint="cs"/>
          <w:rtl/>
        </w:rPr>
        <w:t>). בחלקה ישנם שני בניינים טוריים בעלי שלוש קומות (כולל קומת קרקע), כאשר המרחק בין שני הבניינים עומד על כ-</w:t>
      </w:r>
      <w:smartTag w:uri="urn:schemas-microsoft-com:office:smarttags" w:element="metricconverter">
        <w:smartTagPr>
          <w:attr w:name="ProductID" w:val="20 מ'"/>
        </w:smartTagPr>
        <w:r>
          <w:rPr>
            <w:rFonts w:hint="cs"/>
            <w:rtl/>
          </w:rPr>
          <w:t>20 מ'</w:t>
        </w:r>
      </w:smartTag>
      <w:r>
        <w:rPr>
          <w:rFonts w:hint="cs"/>
          <w:rtl/>
        </w:rPr>
        <w:t>. בכל בניין יש שלוש כניסות, ובכל כניסה שש דירות. שני הבניינים, המצויים ברח' אשרמן 29 ו-31, מהווים בית משותף אחד. ועדת הערר ציינה כי "</w:t>
      </w:r>
      <w:r>
        <w:rPr>
          <w:rFonts w:ascii="Times New Roman" w:hAnsi="Times New Roman" w:cs="Miriam" w:hint="cs"/>
          <w:spacing w:val="0"/>
          <w:sz w:val="28"/>
          <w:szCs w:val="24"/>
          <w:rtl/>
        </w:rPr>
        <w:t xml:space="preserve">גגות שני הבניינים (הגגות המקוריים של הבניינים) הם גגות רעפים, למעט הגג המצוי מעל הרחבה שבוצעה בחלק המזרחי של הבניין בו מצויה דירת </w:t>
      </w:r>
      <w:r>
        <w:rPr>
          <w:rFonts w:ascii="Times New Roman" w:hAnsi="Times New Roman" w:hint="cs"/>
          <w:rtl/>
        </w:rPr>
        <w:t>[המערערים]</w:t>
      </w:r>
      <w:r>
        <w:rPr>
          <w:rFonts w:ascii="Times New Roman" w:hAnsi="Times New Roman" w:cs="Miriam" w:hint="cs"/>
          <w:spacing w:val="0"/>
          <w:sz w:val="28"/>
          <w:szCs w:val="24"/>
          <w:rtl/>
        </w:rPr>
        <w:t>, שנבנה בסטייה מהיתר הבניה שהוצא</w:t>
      </w:r>
      <w:r>
        <w:rPr>
          <w:rFonts w:hint="cs"/>
          <w:rtl/>
        </w:rPr>
        <w:t>". עוד נאמר בהחלטה כי "</w:t>
      </w:r>
      <w:r>
        <w:rPr>
          <w:rFonts w:ascii="Times New Roman" w:hAnsi="Times New Roman" w:cs="Miriam" w:hint="cs"/>
          <w:spacing w:val="0"/>
          <w:sz w:val="28"/>
          <w:szCs w:val="24"/>
          <w:rtl/>
        </w:rPr>
        <w:t>שני הבניינים האמורים מהווים חלק מכ-15 בניינים הבנויים בסגנון דומה דהיינו, בניינים טוריים בני שלוש קומות עם גגות רעפים, והבנויים לאורך רובו של רחוב אשרמן</w:t>
      </w:r>
      <w:r>
        <w:rPr>
          <w:rFonts w:hint="cs"/>
          <w:rtl/>
        </w:rPr>
        <w:t>".</w:t>
      </w:r>
    </w:p>
    <w:p w:rsidR="0060249E" w:rsidRDefault="0060249E">
      <w:pPr>
        <w:pStyle w:val="Ruller40"/>
        <w:rPr>
          <w:rFonts w:hint="cs"/>
          <w:rtl/>
        </w:rPr>
      </w:pPr>
    </w:p>
    <w:p w:rsidR="0060249E" w:rsidRDefault="0060249E">
      <w:pPr>
        <w:pStyle w:val="Ruller40"/>
        <w:rPr>
          <w:rFonts w:hint="cs"/>
          <w:rtl/>
        </w:rPr>
      </w:pPr>
      <w:r>
        <w:rPr>
          <w:rFonts w:hint="cs"/>
          <w:rtl/>
        </w:rPr>
        <w:tab/>
        <w:t>לאחר סקירה מפורטת של ההליכים הקודמים אשר ננקטו על-ידי המערערים, דחתה ועדת הערר טענות מקדמיות שהועלו על-ידם, ובכלל זה גם את הטענה כי לא נדרשת כלל בקשה להקלה, שכן אין מדובר בסטייה מהוראות התכנית. ועדת הערר קבעה, באורח חד משמעי, כי בניית גג שטוח מעל דירת המערערים מהווה סטייה מהוראות תכנית 2327, ולפיכך יש צורך באישור הקלה, על-מנת להכשיר את הבניה הבלתי חוקית.</w:t>
      </w:r>
    </w:p>
    <w:p w:rsidR="0060249E" w:rsidRDefault="0060249E">
      <w:pPr>
        <w:pStyle w:val="Ruller40"/>
        <w:rPr>
          <w:rFonts w:hint="cs"/>
          <w:rtl/>
        </w:rPr>
      </w:pPr>
    </w:p>
    <w:p w:rsidR="0060249E" w:rsidRDefault="0060249E">
      <w:pPr>
        <w:pStyle w:val="Ruller40"/>
        <w:rPr>
          <w:rFonts w:hint="cs"/>
          <w:rtl/>
        </w:rPr>
      </w:pPr>
      <w:r>
        <w:rPr>
          <w:rFonts w:hint="cs"/>
          <w:rtl/>
        </w:rPr>
        <w:tab/>
        <w:t>ועדת הערר הוסיפה וקבעה כי אישור הקלה מעין זו מצריך בחינה דו שלבית. בשלב הראשון, יש להדרש לשאלה האם מדובר בסטייה ניכרת מהתכנית, כאשר מענה חיובי לשאלה זו יביא לדחיית הבקשה להקלה. אם המסקנה היא כי אין מדובר בסטייה ניכרת מתכנית, על מוסד התכנון להפעיל שיקול דעת ולקבוע, על יסוד כלל הנתונים "</w:t>
      </w:r>
      <w:r>
        <w:rPr>
          <w:rFonts w:ascii="Times New Roman" w:hAnsi="Times New Roman" w:cs="Miriam" w:hint="cs"/>
          <w:spacing w:val="0"/>
          <w:sz w:val="28"/>
          <w:szCs w:val="24"/>
          <w:rtl/>
        </w:rPr>
        <w:t>אם קיימת הצדקה תכנונית לאישור ההקלה</w:t>
      </w:r>
      <w:r>
        <w:rPr>
          <w:rFonts w:hint="cs"/>
          <w:rtl/>
        </w:rPr>
        <w:t xml:space="preserve">". </w:t>
      </w:r>
    </w:p>
    <w:p w:rsidR="0060249E" w:rsidRDefault="0060249E">
      <w:pPr>
        <w:pStyle w:val="Ruller40"/>
        <w:rPr>
          <w:rFonts w:hint="cs"/>
          <w:rtl/>
        </w:rPr>
      </w:pPr>
    </w:p>
    <w:p w:rsidR="0060249E" w:rsidRDefault="0060249E">
      <w:pPr>
        <w:pStyle w:val="Ruller40"/>
        <w:rPr>
          <w:rFonts w:hint="cs"/>
          <w:rtl/>
        </w:rPr>
      </w:pPr>
      <w:r>
        <w:rPr>
          <w:rFonts w:hint="cs"/>
          <w:rtl/>
        </w:rPr>
        <w:tab/>
        <w:t>בהתייחס לשאלה הראשונה, הגיעה ועדת הערר לידי מסקנה כי הקביעה בתכנית 2327, לפיה בדגמי הבניינים מסוג ג/64 "</w:t>
      </w:r>
      <w:r>
        <w:rPr>
          <w:rFonts w:ascii="Times New Roman" w:hAnsi="Times New Roman" w:cs="Miriam" w:hint="cs"/>
          <w:spacing w:val="0"/>
          <w:sz w:val="28"/>
          <w:szCs w:val="24"/>
          <w:rtl/>
        </w:rPr>
        <w:t xml:space="preserve">כל הגגות בקומה העליונה יהיו גגות </w:t>
      </w:r>
      <w:r>
        <w:rPr>
          <w:rFonts w:ascii="Times New Roman" w:hAnsi="Times New Roman" w:cs="Miriam" w:hint="cs"/>
          <w:spacing w:val="0"/>
          <w:sz w:val="28"/>
          <w:szCs w:val="24"/>
          <w:rtl/>
        </w:rPr>
        <w:lastRenderedPageBreak/>
        <w:t>רעפים</w:t>
      </w:r>
      <w:r>
        <w:rPr>
          <w:rFonts w:hint="cs"/>
          <w:rtl/>
        </w:rPr>
        <w:t xml:space="preserve">", נועדה, באופן מובהק, לשמור על אופי וחזות הסביבה, כמשמעות הדבר </w:t>
      </w:r>
      <w:hyperlink r:id="rId37" w:history="1">
        <w:r w:rsidR="00FE30BD" w:rsidRPr="00FE30BD">
          <w:rPr>
            <w:color w:val="0000FF"/>
            <w:u w:val="single"/>
            <w:rtl/>
          </w:rPr>
          <w:t>בסעיף 2(10)</w:t>
        </w:r>
      </w:hyperlink>
      <w:r>
        <w:rPr>
          <w:rFonts w:hint="cs"/>
          <w:rtl/>
        </w:rPr>
        <w:t xml:space="preserve"> ל</w:t>
      </w:r>
      <w:hyperlink r:id="rId38" w:history="1">
        <w:r w:rsidR="00FE30BD" w:rsidRPr="00FE30BD">
          <w:rPr>
            <w:color w:val="0000FF"/>
            <w:u w:val="single"/>
            <w:rtl/>
          </w:rPr>
          <w:t>תקנות התכנון והבניה (סטייה ניכרת מתכנית</w:t>
        </w:r>
      </w:hyperlink>
      <w:r>
        <w:rPr>
          <w:rFonts w:hint="cs"/>
          <w:rtl/>
        </w:rPr>
        <w:t>), התשס"ב-2002. לפיכך, הוסיפה וקבעה ועדת הערר כי "</w:t>
      </w:r>
      <w:r>
        <w:rPr>
          <w:rFonts w:ascii="Times New Roman" w:hAnsi="Times New Roman" w:cs="Miriam" w:hint="cs"/>
          <w:spacing w:val="0"/>
          <w:sz w:val="28"/>
          <w:szCs w:val="24"/>
          <w:rtl/>
        </w:rPr>
        <w:t>אישור הקלה מהוראה זו היא בבחינת סטייה ניכרת מתכנית, ולא ניתן לאשר אותה</w:t>
      </w:r>
      <w:r>
        <w:rPr>
          <w:rFonts w:hint="cs"/>
          <w:rtl/>
        </w:rPr>
        <w:t>".</w:t>
      </w:r>
    </w:p>
    <w:p w:rsidR="0060249E" w:rsidRDefault="0060249E">
      <w:pPr>
        <w:pStyle w:val="Ruller40"/>
        <w:rPr>
          <w:rFonts w:hint="cs"/>
          <w:rtl/>
        </w:rPr>
      </w:pPr>
    </w:p>
    <w:p w:rsidR="0060249E" w:rsidRDefault="0060249E">
      <w:pPr>
        <w:pStyle w:val="Ruller40"/>
        <w:rPr>
          <w:rFonts w:hint="cs"/>
          <w:rtl/>
        </w:rPr>
      </w:pPr>
      <w:r>
        <w:rPr>
          <w:rFonts w:hint="cs"/>
          <w:rtl/>
        </w:rPr>
        <w:tab/>
        <w:t>ועדת הערר ציינה, לאחר סיור במקום, כי משני צדדיו של רחוב אשרמן ישנם בניינים דומים בעלי גגות רעפים, השומרים על קו גובה אחיד. הועדה הוסיפה עוד, בהקשר זה, כי "</w:t>
      </w:r>
      <w:r>
        <w:rPr>
          <w:rFonts w:ascii="Times New Roman" w:hAnsi="Times New Roman" w:cs="Miriam" w:hint="cs"/>
          <w:spacing w:val="0"/>
          <w:sz w:val="28"/>
          <w:szCs w:val="24"/>
          <w:rtl/>
        </w:rPr>
        <w:t>המדובר על ייחוד ארכיטקטוני הראוי לשימור, ויפה עשתה התכנית על שהיא קבעה הוראת בינוי המחייבת בניית גגות רעפים</w:t>
      </w:r>
      <w:r>
        <w:rPr>
          <w:rFonts w:hint="cs"/>
          <w:rtl/>
        </w:rPr>
        <w:t>". עוד נאמר בהחלטה כי "</w:t>
      </w:r>
      <w:r>
        <w:rPr>
          <w:rFonts w:ascii="Times New Roman" w:hAnsi="Times New Roman" w:cs="Miriam" w:hint="cs"/>
          <w:spacing w:val="0"/>
          <w:sz w:val="28"/>
          <w:szCs w:val="24"/>
          <w:rtl/>
        </w:rPr>
        <w:t>הגג הנדון חריג מבחינה ארכיטקטונית לסביבה, ופוגע באופן מהותי באחידות הארכיטקטונית אותה ביקשה התכנית לשמר</w:t>
      </w:r>
      <w:r>
        <w:rPr>
          <w:rFonts w:hint="cs"/>
          <w:rtl/>
        </w:rPr>
        <w:t>".</w:t>
      </w:r>
    </w:p>
    <w:p w:rsidR="0060249E" w:rsidRDefault="0060249E">
      <w:pPr>
        <w:pStyle w:val="Ruller40"/>
        <w:rPr>
          <w:rFonts w:hint="cs"/>
          <w:rtl/>
        </w:rPr>
      </w:pPr>
    </w:p>
    <w:p w:rsidR="0060249E" w:rsidRDefault="0060249E">
      <w:pPr>
        <w:pStyle w:val="Ruller40"/>
        <w:rPr>
          <w:rFonts w:hint="cs"/>
          <w:rtl/>
        </w:rPr>
      </w:pPr>
      <w:r>
        <w:rPr>
          <w:rFonts w:hint="cs"/>
          <w:rtl/>
        </w:rPr>
        <w:tab/>
        <w:t>מאחר שלגישת ועדת הערר מדובר במקרה דנן בסטייה ניכרת מהוראות התכנית, הרי שהתוצאה המתבקשת היא ביטול החלטת הועדה המקומית.</w:t>
      </w:r>
    </w:p>
    <w:p w:rsidR="0060249E" w:rsidRDefault="0060249E">
      <w:pPr>
        <w:pStyle w:val="Ruller40"/>
        <w:rPr>
          <w:rFonts w:hint="cs"/>
          <w:rtl/>
        </w:rPr>
      </w:pPr>
    </w:p>
    <w:p w:rsidR="0060249E" w:rsidRDefault="0060249E">
      <w:pPr>
        <w:pStyle w:val="Ruller40"/>
        <w:rPr>
          <w:rFonts w:hint="cs"/>
          <w:rtl/>
        </w:rPr>
      </w:pPr>
      <w:r>
        <w:rPr>
          <w:rFonts w:hint="cs"/>
          <w:rtl/>
        </w:rPr>
        <w:tab/>
        <w:t>למעלה מן הצורך, ציינה ועדת הערר כי גם לגופו של עניין לא היה מקום לאשר את ההקלה המבוקשת. לגישתה של ועדת הערר, גם אם היו המערערים עוברים את המשוכה הראשונה, לעניין הסטייה הניכרת מהתכנית, עדיין "</w:t>
      </w:r>
      <w:r>
        <w:rPr>
          <w:rFonts w:ascii="Times New Roman" w:hAnsi="Times New Roman" w:cs="Miriam" w:hint="cs"/>
          <w:spacing w:val="0"/>
          <w:sz w:val="28"/>
          <w:szCs w:val="24"/>
          <w:rtl/>
        </w:rPr>
        <w:t>לא היה מקום לאשר את ההקלה בהעדר כל נימוק תכנוני לאפשר במקרה הנדון סטייה מהוראות תכנית 2327</w:t>
      </w:r>
      <w:r>
        <w:rPr>
          <w:rFonts w:hint="cs"/>
          <w:rtl/>
        </w:rPr>
        <w:t>".</w:t>
      </w:r>
    </w:p>
    <w:p w:rsidR="0060249E" w:rsidRDefault="0060249E">
      <w:pPr>
        <w:pStyle w:val="Ruller40"/>
        <w:rPr>
          <w:rFonts w:hint="cs"/>
          <w:rtl/>
        </w:rPr>
      </w:pPr>
    </w:p>
    <w:p w:rsidR="0060249E" w:rsidRDefault="0060249E">
      <w:pPr>
        <w:pStyle w:val="Ruller40"/>
        <w:rPr>
          <w:rFonts w:hint="cs"/>
          <w:rtl/>
        </w:rPr>
      </w:pPr>
      <w:r>
        <w:rPr>
          <w:rFonts w:hint="cs"/>
          <w:rtl/>
        </w:rPr>
        <w:tab/>
        <w:t>נושא נוסף אשר נדון על-ידי ועדת הערר, עניינו בטענת האפליה שהועלתה על-ידי המערערים, שכן, לטענתם ישנם בניינים נוספים ברחוב אשרמן שבהם לא נבנה גג רעפים. לבקשת הועדה, הגישו המערערים רשימה של בניינים המצויים ברחוב, בהם קיים גג שטוח ולא גג רעפים.</w:t>
      </w:r>
    </w:p>
    <w:p w:rsidR="0060249E" w:rsidRDefault="0060249E">
      <w:pPr>
        <w:pStyle w:val="Ruller40"/>
        <w:rPr>
          <w:rFonts w:hint="cs"/>
          <w:rtl/>
        </w:rPr>
      </w:pPr>
    </w:p>
    <w:p w:rsidR="0060249E" w:rsidRDefault="0060249E">
      <w:pPr>
        <w:pStyle w:val="Ruller40"/>
        <w:tabs>
          <w:tab w:val="left" w:pos="8170"/>
        </w:tabs>
        <w:rPr>
          <w:rFonts w:hint="cs"/>
          <w:rtl/>
        </w:rPr>
      </w:pPr>
      <w:r>
        <w:rPr>
          <w:rFonts w:hint="cs"/>
          <w:rtl/>
        </w:rPr>
        <w:tab/>
        <w:t>לאחר בחינת הנתונים המופיעים ברשימה, הגיעה ועדת הערר למסקנות הבאות: חלק מהגגות השטוחים נבנו לפני כניסתה לתוקף של תכנית 2327 ולכן אין מדובר בסטייה מהוראות התכנית; בחלק מהמקרים מדובר בבניינים מטיפוס ג/69, לגביהם אין דרישה לגגות רעפים; בכמה מקרים נבנו גגות שטוחים ללא היתרי בניה ותוך סטייה מההיתר; רק בשני מקרים (ברח' אשרמן 19 ו-41) הוצאו היתרי בניה לגג שטוח, לאחר כניסתה של תכנית 2327 לתוקף, כאשר הועדה המקומית לא נתנה הסבר לכך. מבחינתה של ועדת הערר, באותם שני מקרים חריגים "</w:t>
      </w:r>
      <w:r>
        <w:rPr>
          <w:rFonts w:ascii="Times New Roman" w:hAnsi="Times New Roman" w:cs="Miriam" w:hint="cs"/>
          <w:spacing w:val="0"/>
          <w:sz w:val="28"/>
          <w:szCs w:val="24"/>
          <w:rtl/>
        </w:rPr>
        <w:t xml:space="preserve">מדובר בהיתרים לא </w:t>
      </w:r>
      <w:r>
        <w:rPr>
          <w:rFonts w:ascii="Times New Roman" w:hAnsi="Times New Roman" w:cs="Miriam" w:hint="cs"/>
          <w:spacing w:val="0"/>
          <w:sz w:val="28"/>
          <w:szCs w:val="24"/>
          <w:rtl/>
        </w:rPr>
        <w:lastRenderedPageBreak/>
        <w:t>חוקיים</w:t>
      </w:r>
      <w:r>
        <w:rPr>
          <w:rFonts w:hint="cs"/>
          <w:rtl/>
        </w:rPr>
        <w:t>". הועדה הוסיפה וקבעה כי "</w:t>
      </w:r>
      <w:r>
        <w:rPr>
          <w:rFonts w:ascii="Times New Roman" w:hAnsi="Times New Roman" w:cs="Miriam" w:hint="cs"/>
          <w:spacing w:val="0"/>
          <w:sz w:val="28"/>
          <w:szCs w:val="24"/>
          <w:rtl/>
        </w:rPr>
        <w:t>לא ניתן לדרוש כי יינתן גם היום היתר לא חוקי שכזה על בסיס טענת אפליה</w:t>
      </w:r>
      <w:r>
        <w:rPr>
          <w:rFonts w:hint="cs"/>
          <w:rtl/>
        </w:rPr>
        <w:t>".</w:t>
      </w:r>
    </w:p>
    <w:p w:rsidR="0060249E" w:rsidRDefault="0060249E">
      <w:pPr>
        <w:pStyle w:val="Ruller40"/>
        <w:rPr>
          <w:rFonts w:hint="cs"/>
          <w:rtl/>
        </w:rPr>
      </w:pPr>
    </w:p>
    <w:p w:rsidR="0060249E" w:rsidRDefault="0060249E">
      <w:pPr>
        <w:pStyle w:val="Ruller40"/>
        <w:rPr>
          <w:rFonts w:hint="cs"/>
          <w:rtl/>
        </w:rPr>
      </w:pPr>
      <w:r>
        <w:rPr>
          <w:rFonts w:hint="cs"/>
          <w:rtl/>
        </w:rPr>
        <w:tab/>
        <w:t>לאור האמור, הוחלט, פה אחד, לבטל את החלטת הועדה המקומית לאשר למערערים הקלה שמשמעה בניית גג שטוח מעל לדירתם, במקום גג רעפים.</w:t>
      </w:r>
    </w:p>
    <w:p w:rsidR="0060249E" w:rsidRDefault="0060249E">
      <w:pPr>
        <w:pStyle w:val="Ruller40"/>
        <w:rPr>
          <w:rFonts w:hint="cs"/>
          <w:rtl/>
        </w:rPr>
      </w:pPr>
    </w:p>
    <w:p w:rsidR="0060249E" w:rsidRDefault="0060249E">
      <w:pPr>
        <w:pStyle w:val="Ruller40"/>
        <w:rPr>
          <w:rFonts w:ascii="Times New Roman" w:hAnsi="Times New Roman" w:cs="Miriam" w:hint="cs"/>
          <w:spacing w:val="0"/>
          <w:sz w:val="28"/>
          <w:szCs w:val="24"/>
          <w:rtl/>
        </w:rPr>
      </w:pPr>
      <w:r>
        <w:rPr>
          <w:rFonts w:ascii="Times New Roman" w:hAnsi="Times New Roman" w:cs="Miriam" w:hint="cs"/>
          <w:spacing w:val="0"/>
          <w:sz w:val="28"/>
          <w:szCs w:val="24"/>
          <w:rtl/>
        </w:rPr>
        <w:t>פסק דינו של בית המשפט לעניינים מנהליים</w:t>
      </w:r>
    </w:p>
    <w:p w:rsidR="0060249E" w:rsidRDefault="0060249E">
      <w:pPr>
        <w:pStyle w:val="Ruller40"/>
        <w:rPr>
          <w:rFonts w:hint="cs"/>
          <w:rtl/>
        </w:rPr>
      </w:pPr>
    </w:p>
    <w:p w:rsidR="0060249E" w:rsidRDefault="0060249E">
      <w:pPr>
        <w:pStyle w:val="Ruller40"/>
        <w:rPr>
          <w:rFonts w:hint="cs"/>
          <w:rtl/>
        </w:rPr>
      </w:pPr>
      <w:r>
        <w:rPr>
          <w:rFonts w:hint="cs"/>
          <w:rtl/>
        </w:rPr>
        <w:t>12.</w:t>
      </w:r>
      <w:r>
        <w:rPr>
          <w:rFonts w:hint="cs"/>
          <w:rtl/>
        </w:rPr>
        <w:tab/>
        <w:t>המערערים לא השלימו, גם הפעם, עם החלטת ועדת הערר והגישו עתירה מנהלית לבית המשפט המחוזי בתל אביב-יפו, בשבתו כבית משפט לעניינים מנהליים. בעתירתם חזרו המערערים על עיקרי טענותיהם, כפי שהועלו בפני הועדה המקומית ובפני ועדת הערר.</w:t>
      </w:r>
    </w:p>
    <w:p w:rsidR="0060249E" w:rsidRDefault="0060249E">
      <w:pPr>
        <w:pStyle w:val="Ruller40"/>
        <w:rPr>
          <w:rFonts w:hint="cs"/>
          <w:rtl/>
        </w:rPr>
      </w:pPr>
    </w:p>
    <w:p w:rsidR="0060249E" w:rsidRDefault="0060249E">
      <w:pPr>
        <w:pStyle w:val="Ruller40"/>
        <w:rPr>
          <w:rFonts w:hint="cs"/>
          <w:rtl/>
        </w:rPr>
      </w:pPr>
      <w:r>
        <w:rPr>
          <w:rFonts w:hint="cs"/>
          <w:rtl/>
        </w:rPr>
        <w:tab/>
        <w:t xml:space="preserve">בפסק דין מפורט ומנומק, אשר ניתן על-ידי כב' השופטת </w:t>
      </w:r>
      <w:r>
        <w:rPr>
          <w:rFonts w:ascii="Times New Roman" w:hAnsi="Times New Roman" w:cs="Miriam" w:hint="cs"/>
          <w:spacing w:val="0"/>
          <w:sz w:val="28"/>
          <w:szCs w:val="24"/>
          <w:rtl/>
        </w:rPr>
        <w:t>א' קובו</w:t>
      </w:r>
      <w:r>
        <w:rPr>
          <w:rFonts w:hint="cs"/>
          <w:rtl/>
        </w:rPr>
        <w:t>, סג"נ, נדחתה העתירה. בפתח פסק הדין אוזכרה ההלכה, לפיה בית המשפט לא יתערב בהחלטות ובשיקול הדעת של מוסד תכנון, אלא אם מדובר בהחלטה בלתי סבירה באופן מהותי, או אם ההחלטה התקבלה בשרירות לב, מתוך משוא פנים, ושלא בתום לב ובהגינות.</w:t>
      </w:r>
    </w:p>
    <w:p w:rsidR="0060249E" w:rsidRDefault="0060249E">
      <w:pPr>
        <w:pStyle w:val="Ruller40"/>
        <w:rPr>
          <w:rFonts w:hint="cs"/>
          <w:rtl/>
        </w:rPr>
      </w:pPr>
    </w:p>
    <w:p w:rsidR="0060249E" w:rsidRDefault="0060249E">
      <w:pPr>
        <w:pStyle w:val="Ruller40"/>
        <w:rPr>
          <w:rFonts w:hint="cs"/>
          <w:rtl/>
        </w:rPr>
      </w:pPr>
      <w:r>
        <w:rPr>
          <w:rFonts w:hint="cs"/>
          <w:rtl/>
        </w:rPr>
        <w:tab/>
        <w:t>עוד צוין בפסק הדין כי ועדת הערר רשאית להיכנס בנעליה של הועדה המקומית ו"</w:t>
      </w:r>
      <w:r>
        <w:rPr>
          <w:rFonts w:ascii="Times New Roman" w:hAnsi="Times New Roman" w:cs="Miriam" w:hint="cs"/>
          <w:spacing w:val="0"/>
          <w:sz w:val="28"/>
          <w:szCs w:val="24"/>
          <w:rtl/>
        </w:rPr>
        <w:t>לשים את שיקול דעתה התכנוני במקום שיקול דעתה של הועדה המקומית</w:t>
      </w:r>
      <w:r>
        <w:rPr>
          <w:rFonts w:hint="cs"/>
          <w:rtl/>
        </w:rPr>
        <w:t>". לגוף העניין, נאמר בפסק הדין כי תכנית 2327, החלה במקרה דנן, כוללת "</w:t>
      </w:r>
      <w:r>
        <w:rPr>
          <w:rFonts w:ascii="Times New Roman" w:hAnsi="Times New Roman" w:cs="Miriam" w:hint="cs"/>
          <w:spacing w:val="0"/>
          <w:sz w:val="28"/>
          <w:szCs w:val="24"/>
          <w:rtl/>
        </w:rPr>
        <w:t xml:space="preserve">דרישת בינוי ועיצוב ביחס לדגם הבניין בו מצויה דירת </w:t>
      </w:r>
      <w:r>
        <w:rPr>
          <w:rFonts w:ascii="Times New Roman" w:hAnsi="Times New Roman" w:hint="cs"/>
          <w:rtl/>
        </w:rPr>
        <w:t>[המערערים]</w:t>
      </w:r>
      <w:r>
        <w:rPr>
          <w:rFonts w:ascii="Times New Roman" w:hAnsi="Times New Roman" w:cs="Miriam" w:hint="cs"/>
          <w:spacing w:val="0"/>
          <w:sz w:val="28"/>
          <w:szCs w:val="24"/>
          <w:rtl/>
        </w:rPr>
        <w:t xml:space="preserve"> לפיה כל הגגות בקומה העליונה יהיו גגות רעפים</w:t>
      </w:r>
      <w:r>
        <w:rPr>
          <w:rFonts w:hint="cs"/>
          <w:rtl/>
        </w:rPr>
        <w:t>". לפיכך, אישור ההקלה המבוקשת, משמעו סטייה ניכרת מתכנית.</w:t>
      </w:r>
    </w:p>
    <w:p w:rsidR="0060249E" w:rsidRDefault="0060249E">
      <w:pPr>
        <w:pStyle w:val="Ruller40"/>
        <w:rPr>
          <w:rFonts w:hint="cs"/>
          <w:rtl/>
        </w:rPr>
      </w:pPr>
    </w:p>
    <w:p w:rsidR="0060249E" w:rsidRDefault="0060249E">
      <w:pPr>
        <w:pStyle w:val="Ruller40"/>
        <w:rPr>
          <w:rFonts w:hint="cs"/>
          <w:rtl/>
        </w:rPr>
      </w:pPr>
      <w:r>
        <w:rPr>
          <w:rFonts w:hint="cs"/>
          <w:rtl/>
        </w:rPr>
        <w:tab/>
        <w:t>לגישת בית המשפט, גם אם אין מדובר בסטייה ניכרת מתכנית, אין מקום להתערב בהחלטתה של ועדת הערר, שכן זו התרשמה, לאחר סיור במקום, כי אין הצדקה ארכיטקטונית לאשר את ההקלה, מאחר שמדובר בגג המצוי בחזית הבניין והוא פוגע באחידות התכנונית.</w:t>
      </w:r>
    </w:p>
    <w:p w:rsidR="0060249E" w:rsidRDefault="0060249E">
      <w:pPr>
        <w:pStyle w:val="Ruller40"/>
        <w:rPr>
          <w:rFonts w:hint="cs"/>
          <w:rtl/>
        </w:rPr>
      </w:pPr>
    </w:p>
    <w:p w:rsidR="0060249E" w:rsidRDefault="0060249E">
      <w:pPr>
        <w:pStyle w:val="Ruller40"/>
        <w:rPr>
          <w:rFonts w:hint="cs"/>
          <w:rtl/>
        </w:rPr>
      </w:pPr>
      <w:r>
        <w:rPr>
          <w:rFonts w:hint="cs"/>
          <w:rtl/>
        </w:rPr>
        <w:tab/>
        <w:t>אשר לטענת האפליה, הודגש בפסק הדין כי מדובר בשני מקרים בלבד בהם ניתן היתר לבניית גג שטוח, תוך סטייה מהוראות התכנית. בית המשפט קבע, בהקשר זה, כי גם אם טעתה הועדה המקומית בעבר "</w:t>
      </w:r>
      <w:r>
        <w:rPr>
          <w:rFonts w:ascii="Times New Roman" w:hAnsi="Times New Roman" w:cs="Miriam" w:hint="cs"/>
          <w:spacing w:val="0"/>
          <w:sz w:val="28"/>
          <w:szCs w:val="24"/>
          <w:rtl/>
        </w:rPr>
        <w:t xml:space="preserve">והוציאה היתרי בניה הנוגדים את תכנית </w:t>
      </w:r>
      <w:r>
        <w:rPr>
          <w:rFonts w:ascii="Times New Roman" w:hAnsi="Times New Roman" w:cs="Miriam" w:hint="cs"/>
          <w:spacing w:val="0"/>
          <w:sz w:val="28"/>
          <w:szCs w:val="24"/>
          <w:rtl/>
        </w:rPr>
        <w:lastRenderedPageBreak/>
        <w:t>2327, ללא קיום הליך הקלה, הרי שלא ניתן לדרוש כי יינתן גם היום היתר לא חוקי שכזה על בסיס טענת אפליה</w:t>
      </w:r>
      <w:r>
        <w:rPr>
          <w:rFonts w:hint="cs"/>
          <w:rtl/>
        </w:rPr>
        <w:t>".</w:t>
      </w:r>
    </w:p>
    <w:p w:rsidR="0060249E" w:rsidRDefault="0060249E">
      <w:pPr>
        <w:pStyle w:val="Ruller40"/>
        <w:rPr>
          <w:rFonts w:hint="cs"/>
          <w:rtl/>
        </w:rPr>
      </w:pPr>
    </w:p>
    <w:p w:rsidR="0060249E" w:rsidRDefault="0060249E">
      <w:pPr>
        <w:pStyle w:val="Ruller40"/>
        <w:rPr>
          <w:rFonts w:hint="cs"/>
          <w:rtl/>
        </w:rPr>
      </w:pPr>
      <w:r>
        <w:rPr>
          <w:rFonts w:hint="cs"/>
          <w:rtl/>
        </w:rPr>
        <w:tab/>
        <w:t>לבסוף, הגיע בית המשפט למסקנה כי "</w:t>
      </w:r>
      <w:r>
        <w:rPr>
          <w:rFonts w:ascii="Times New Roman" w:hAnsi="Times New Roman" w:cs="Miriam" w:hint="cs"/>
          <w:spacing w:val="0"/>
          <w:sz w:val="28"/>
          <w:szCs w:val="24"/>
          <w:rtl/>
        </w:rPr>
        <w:t>התשתית הראייתית בעתירה שלפני מגלה כי החלטת ועדת הערר התקבלה לאור שיקולים ענייניים, תחת תשתית עובדתית מוצקה, והיא מצויה בגדר מתחם הסבירות</w:t>
      </w:r>
      <w:r>
        <w:rPr>
          <w:rFonts w:hint="cs"/>
          <w:rtl/>
        </w:rPr>
        <w:t xml:space="preserve">". </w:t>
      </w:r>
    </w:p>
    <w:p w:rsidR="0060249E" w:rsidRDefault="0060249E">
      <w:pPr>
        <w:pStyle w:val="Ruller40"/>
        <w:rPr>
          <w:rFonts w:hint="cs"/>
          <w:rtl/>
        </w:rPr>
      </w:pPr>
    </w:p>
    <w:p w:rsidR="0060249E" w:rsidRDefault="0060249E">
      <w:pPr>
        <w:pStyle w:val="Ruller40"/>
        <w:rPr>
          <w:rFonts w:hint="cs"/>
          <w:rtl/>
        </w:rPr>
      </w:pPr>
      <w:r>
        <w:rPr>
          <w:rFonts w:hint="cs"/>
          <w:rtl/>
        </w:rPr>
        <w:tab/>
        <w:t>לאור האמור, נדחתה עתירתם של המערערים.</w:t>
      </w:r>
    </w:p>
    <w:p w:rsidR="0060249E" w:rsidRDefault="0060249E">
      <w:pPr>
        <w:pStyle w:val="Ruller40"/>
        <w:rPr>
          <w:rFonts w:hint="cs"/>
          <w:rtl/>
        </w:rPr>
      </w:pPr>
    </w:p>
    <w:p w:rsidR="0060249E" w:rsidRDefault="0060249E">
      <w:pPr>
        <w:pStyle w:val="Ruller40"/>
        <w:rPr>
          <w:rFonts w:ascii="Times New Roman" w:hAnsi="Times New Roman" w:cs="Miriam" w:hint="cs"/>
          <w:spacing w:val="0"/>
          <w:sz w:val="28"/>
          <w:szCs w:val="24"/>
          <w:rtl/>
        </w:rPr>
      </w:pPr>
      <w:r>
        <w:rPr>
          <w:rFonts w:ascii="Times New Roman" w:hAnsi="Times New Roman" w:cs="Miriam" w:hint="cs"/>
          <w:spacing w:val="0"/>
          <w:sz w:val="28"/>
          <w:szCs w:val="24"/>
          <w:rtl/>
        </w:rPr>
        <w:t>הערעור על פסק דינו של בית המשפט המחוזי</w:t>
      </w:r>
    </w:p>
    <w:p w:rsidR="0060249E" w:rsidRDefault="0060249E">
      <w:pPr>
        <w:pStyle w:val="Ruller40"/>
        <w:rPr>
          <w:rFonts w:hint="cs"/>
          <w:rtl/>
        </w:rPr>
      </w:pPr>
    </w:p>
    <w:p w:rsidR="0060249E" w:rsidRDefault="0060249E" w:rsidP="0091755B">
      <w:pPr>
        <w:pStyle w:val="Ruller40"/>
        <w:rPr>
          <w:rFonts w:hint="cs"/>
          <w:rtl/>
        </w:rPr>
      </w:pPr>
      <w:r>
        <w:rPr>
          <w:rFonts w:hint="cs"/>
          <w:rtl/>
        </w:rPr>
        <w:t>13.</w:t>
      </w:r>
      <w:r>
        <w:rPr>
          <w:rFonts w:hint="cs"/>
          <w:rtl/>
        </w:rPr>
        <w:tab/>
        <w:t>בערעור שלפנינו, נטען על-ידי המערערים כי במהלך הדיון בערעור הקודם (</w:t>
      </w:r>
      <w:hyperlink r:id="rId39" w:history="1">
        <w:r w:rsidR="006D5E3B" w:rsidRPr="006D5E3B">
          <w:rPr>
            <w:color w:val="0000FF"/>
            <w:u w:val="single"/>
            <w:rtl/>
          </w:rPr>
          <w:t>עע"ם 9168/05</w:t>
        </w:r>
      </w:hyperlink>
      <w:r>
        <w:rPr>
          <w:rFonts w:hint="cs"/>
          <w:rtl/>
        </w:rPr>
        <w:t>)</w:t>
      </w:r>
      <w:r w:rsidR="0091755B">
        <w:rPr>
          <w:rFonts w:hint="cs"/>
          <w:rtl/>
        </w:rPr>
        <w:t xml:space="preserve">, </w:t>
      </w:r>
      <w:r w:rsidR="0091755B" w:rsidRPr="0091755B">
        <w:rPr>
          <w:rFonts w:ascii="Times New Roman" w:hAnsi="Times New Roman" w:cs="David"/>
          <w:spacing w:val="0"/>
          <w:szCs w:val="24"/>
          <w:rtl/>
        </w:rPr>
        <w:t>[פורסם בנבו]</w:t>
      </w:r>
      <w:r>
        <w:rPr>
          <w:rFonts w:hint="cs"/>
          <w:rtl/>
        </w:rPr>
        <w:t xml:space="preserve">, אשר נדון בהרכב הנשיאה </w:t>
      </w:r>
      <w:r>
        <w:rPr>
          <w:rFonts w:ascii="Times New Roman" w:hAnsi="Times New Roman" w:cs="Miriam" w:hint="cs"/>
          <w:spacing w:val="0"/>
          <w:sz w:val="28"/>
          <w:szCs w:val="24"/>
          <w:rtl/>
        </w:rPr>
        <w:t>ד' ביניש</w:t>
      </w:r>
      <w:r>
        <w:rPr>
          <w:rFonts w:hint="cs"/>
          <w:rtl/>
        </w:rPr>
        <w:t xml:space="preserve"> והשופטים </w:t>
      </w:r>
      <w:r>
        <w:rPr>
          <w:rFonts w:ascii="Times New Roman" w:hAnsi="Times New Roman" w:cs="Miriam" w:hint="cs"/>
          <w:spacing w:val="0"/>
          <w:sz w:val="28"/>
          <w:szCs w:val="24"/>
          <w:rtl/>
        </w:rPr>
        <w:t>ס' ג'ובראן</w:t>
      </w:r>
      <w:r>
        <w:rPr>
          <w:rFonts w:hint="cs"/>
          <w:rtl/>
        </w:rPr>
        <w:t xml:space="preserve"> ו-</w:t>
      </w:r>
      <w:r>
        <w:rPr>
          <w:rFonts w:ascii="Times New Roman" w:hAnsi="Times New Roman" w:cs="Miriam" w:hint="cs"/>
          <w:spacing w:val="0"/>
          <w:sz w:val="28"/>
          <w:szCs w:val="24"/>
          <w:rtl/>
        </w:rPr>
        <w:t>ע' פוגלמן</w:t>
      </w:r>
      <w:r>
        <w:rPr>
          <w:rFonts w:hint="cs"/>
          <w:rtl/>
        </w:rPr>
        <w:t>, ניתנה "</w:t>
      </w:r>
      <w:r>
        <w:rPr>
          <w:rFonts w:ascii="Times New Roman" w:hAnsi="Times New Roman" w:cs="Miriam" w:hint="cs"/>
          <w:spacing w:val="0"/>
          <w:sz w:val="28"/>
          <w:szCs w:val="24"/>
          <w:rtl/>
        </w:rPr>
        <w:t>הבטחה שלטונית</w:t>
      </w:r>
      <w:r>
        <w:rPr>
          <w:rFonts w:hint="cs"/>
          <w:rtl/>
        </w:rPr>
        <w:t>", שמשמעה כי אם תוגש בקשה להקלה, הרי שזו תאושר וכי "</w:t>
      </w:r>
      <w:r>
        <w:rPr>
          <w:rFonts w:ascii="Times New Roman" w:hAnsi="Times New Roman" w:cs="Miriam" w:hint="cs"/>
          <w:spacing w:val="0"/>
          <w:sz w:val="28"/>
          <w:szCs w:val="24"/>
          <w:rtl/>
        </w:rPr>
        <w:t>הנושא פתור באופן סופי!!! באישור ההקלה</w:t>
      </w:r>
      <w:r>
        <w:rPr>
          <w:rFonts w:hint="cs"/>
          <w:rtl/>
        </w:rPr>
        <w:t>".</w:t>
      </w:r>
    </w:p>
    <w:p w:rsidR="0060249E" w:rsidRDefault="0060249E">
      <w:pPr>
        <w:pStyle w:val="Ruller40"/>
        <w:rPr>
          <w:rFonts w:hint="cs"/>
          <w:rtl/>
        </w:rPr>
      </w:pPr>
    </w:p>
    <w:p w:rsidR="0060249E" w:rsidRDefault="0060249E">
      <w:pPr>
        <w:pStyle w:val="Ruller40"/>
        <w:rPr>
          <w:rFonts w:hint="cs"/>
          <w:rtl/>
        </w:rPr>
      </w:pPr>
      <w:r>
        <w:rPr>
          <w:rFonts w:hint="cs"/>
          <w:rtl/>
        </w:rPr>
        <w:tab/>
        <w:t xml:space="preserve">לגופו של עניין, נטען על-ידי המערערים כי הועדה המקומית קבעה, בצדק, כי אין באישור הגג השטוח משום סטייה מקווי הבניין, הגם שלא היה מקום להתנות את מתן ההיתר בהנמכת המעקה לכדי </w:t>
      </w:r>
      <w:smartTag w:uri="urn:schemas-microsoft-com:office:smarttags" w:element="metricconverter">
        <w:smartTagPr>
          <w:attr w:name="ProductID" w:val="0.40 מ'"/>
        </w:smartTagPr>
        <w:r>
          <w:rPr>
            <w:rFonts w:hint="cs"/>
            <w:rtl/>
          </w:rPr>
          <w:t>0.40 מ'</w:t>
        </w:r>
      </w:smartTag>
      <w:r>
        <w:rPr>
          <w:rFonts w:hint="cs"/>
          <w:rtl/>
        </w:rPr>
        <w:t>. אשר לועדת הערר, נטען כי יו"ר הועדה הבהיר במהלך סיור בבניין כי "</w:t>
      </w:r>
      <w:r>
        <w:rPr>
          <w:rFonts w:ascii="Times New Roman" w:hAnsi="Times New Roman" w:cs="Miriam" w:hint="cs"/>
          <w:spacing w:val="0"/>
          <w:sz w:val="28"/>
          <w:szCs w:val="24"/>
          <w:rtl/>
        </w:rPr>
        <w:t>לא יעזור כלום והבקשה לא תאושר</w:t>
      </w:r>
      <w:r>
        <w:rPr>
          <w:rFonts w:hint="cs"/>
          <w:rtl/>
        </w:rPr>
        <w:t>".</w:t>
      </w:r>
    </w:p>
    <w:p w:rsidR="0060249E" w:rsidRDefault="0060249E">
      <w:pPr>
        <w:pStyle w:val="Ruller40"/>
        <w:rPr>
          <w:rFonts w:hint="cs"/>
          <w:rtl/>
        </w:rPr>
      </w:pPr>
    </w:p>
    <w:p w:rsidR="0060249E" w:rsidRDefault="0060249E">
      <w:pPr>
        <w:pStyle w:val="Ruller40"/>
        <w:rPr>
          <w:rFonts w:hint="cs"/>
          <w:rtl/>
        </w:rPr>
      </w:pPr>
      <w:r>
        <w:rPr>
          <w:rFonts w:hint="cs"/>
          <w:rtl/>
        </w:rPr>
        <w:tab/>
        <w:t>המערערים טוענים ל"</w:t>
      </w:r>
      <w:r>
        <w:rPr>
          <w:rFonts w:ascii="Times New Roman" w:hAnsi="Times New Roman" w:cs="Miriam" w:hint="cs"/>
          <w:spacing w:val="0"/>
          <w:sz w:val="28"/>
          <w:szCs w:val="24"/>
          <w:rtl/>
        </w:rPr>
        <w:t>רדיפה שיטתית וארוכת שנים של המשיב 2</w:t>
      </w:r>
      <w:r>
        <w:rPr>
          <w:rFonts w:hint="cs"/>
          <w:rtl/>
        </w:rPr>
        <w:t>", אשר הפעיל לחץ מסיבי על הועדות השונות ובעיקר על ועדת הערר "</w:t>
      </w:r>
      <w:r>
        <w:rPr>
          <w:rFonts w:ascii="Times New Roman" w:hAnsi="Times New Roman" w:cs="Miriam" w:hint="cs"/>
          <w:spacing w:val="0"/>
          <w:sz w:val="28"/>
          <w:szCs w:val="24"/>
          <w:rtl/>
        </w:rPr>
        <w:t>שכשלה בהחלטה שגויה במכוון</w:t>
      </w:r>
      <w:r>
        <w:rPr>
          <w:rFonts w:hint="cs"/>
          <w:rtl/>
        </w:rPr>
        <w:t xml:space="preserve">". </w:t>
      </w:r>
    </w:p>
    <w:p w:rsidR="0060249E" w:rsidRDefault="0060249E">
      <w:pPr>
        <w:pStyle w:val="Ruller40"/>
        <w:rPr>
          <w:rFonts w:hint="cs"/>
          <w:rtl/>
        </w:rPr>
      </w:pPr>
    </w:p>
    <w:p w:rsidR="0060249E" w:rsidRDefault="0060249E">
      <w:pPr>
        <w:pStyle w:val="Ruller40"/>
        <w:rPr>
          <w:rFonts w:hint="cs"/>
          <w:rtl/>
        </w:rPr>
      </w:pPr>
      <w:r>
        <w:rPr>
          <w:rFonts w:hint="cs"/>
          <w:rtl/>
        </w:rPr>
        <w:tab/>
        <w:t>אשר לפסק דינו של בית המשפט לעניינים מנהליים נטען בערעור כי בית המשפט שגה בהחלטתו "</w:t>
      </w:r>
      <w:r>
        <w:rPr>
          <w:rFonts w:ascii="Times New Roman" w:hAnsi="Times New Roman" w:cs="Miriam" w:hint="cs"/>
          <w:spacing w:val="0"/>
          <w:sz w:val="28"/>
          <w:szCs w:val="24"/>
          <w:rtl/>
        </w:rPr>
        <w:t>וגיבה את הועדות באפליה בוטה כלפינו</w:t>
      </w:r>
      <w:r>
        <w:rPr>
          <w:rFonts w:hint="cs"/>
          <w:rtl/>
        </w:rPr>
        <w:t>". המערערים חזרו והעלו את טענתם, לפיה בניית הגג השטוח אינה מחייבת בקשה להקלה, לאור האמור בסעיפים 12(ב) ו-12(ד) לתכנית.</w:t>
      </w:r>
    </w:p>
    <w:p w:rsidR="0060249E" w:rsidRDefault="0060249E">
      <w:pPr>
        <w:pStyle w:val="Ruller40"/>
        <w:rPr>
          <w:rFonts w:hint="cs"/>
          <w:rtl/>
        </w:rPr>
      </w:pPr>
    </w:p>
    <w:p w:rsidR="0060249E" w:rsidRDefault="0060249E">
      <w:pPr>
        <w:pStyle w:val="Ruller40"/>
        <w:rPr>
          <w:rFonts w:hint="cs"/>
          <w:rtl/>
        </w:rPr>
      </w:pPr>
      <w:r>
        <w:rPr>
          <w:rFonts w:hint="cs"/>
          <w:rtl/>
        </w:rPr>
        <w:tab/>
        <w:t>המערערים קובלים, בנוסף, על כי ועדת הערר סירבה לקבל רשימה של בניינים בהם נבנה גג שטוח, שאינם מצויים ברחוב אשרמן, אלא ברחובות סמוכים, כגון: רחוב החבצלת, הצבי ועודד.</w:t>
      </w:r>
    </w:p>
    <w:p w:rsidR="0060249E" w:rsidRDefault="0060249E">
      <w:pPr>
        <w:pStyle w:val="Ruller40"/>
        <w:rPr>
          <w:rFonts w:hint="cs"/>
          <w:rtl/>
        </w:rPr>
      </w:pPr>
    </w:p>
    <w:p w:rsidR="0060249E" w:rsidRDefault="0060249E">
      <w:pPr>
        <w:pStyle w:val="Ruller40"/>
        <w:rPr>
          <w:rFonts w:hint="cs"/>
          <w:rtl/>
        </w:rPr>
      </w:pPr>
      <w:r>
        <w:rPr>
          <w:rFonts w:hint="cs"/>
          <w:rtl/>
        </w:rPr>
        <w:tab/>
        <w:t>במהלך הדיון בערעור טען המערער 1 כי הוא נרדף על-ידי המשיב 2 וגם על-ידי גורמי העירייה, הן במישור הפלילי והן במישור האזרחי. המערער 1 חזר על טענתו בדבר קיומה של "</w:t>
      </w:r>
      <w:r>
        <w:rPr>
          <w:rFonts w:ascii="Times New Roman" w:hAnsi="Times New Roman" w:cs="Miriam" w:hint="cs"/>
          <w:spacing w:val="0"/>
          <w:sz w:val="28"/>
          <w:szCs w:val="24"/>
          <w:rtl/>
        </w:rPr>
        <w:t>הבטחה שלטונית</w:t>
      </w:r>
      <w:r>
        <w:rPr>
          <w:rFonts w:hint="cs"/>
          <w:rtl/>
        </w:rPr>
        <w:t>", שניתנה במסגרת הדיון בערעור הקודם. לגישתו של המערער 1, בית המשפט המחוזי לא דן כלל בשאלות הרלבנטיות ו"</w:t>
      </w:r>
      <w:r>
        <w:rPr>
          <w:rFonts w:ascii="Times New Roman" w:hAnsi="Times New Roman" w:cs="Miriam" w:hint="cs"/>
          <w:spacing w:val="0"/>
          <w:sz w:val="28"/>
          <w:szCs w:val="24"/>
          <w:rtl/>
        </w:rPr>
        <w:t>הוא מעוור את עיניו</w:t>
      </w:r>
      <w:r>
        <w:rPr>
          <w:rFonts w:hint="cs"/>
          <w:rtl/>
        </w:rPr>
        <w:t>", כלשונו של המערער. למרות הערותינו, כי אין זה ראוי לעשות שימוש בביטויים פוגעניים כלפי ערכאה שיפוטית, חזר המערער 1 ותקף במילים בוטות את כל הגורמים, אשר לטענתו רודפים אותו ומתנכלים לו, והמשיך להתייחס באופן בלתי מקובל ופוגעני לבית המשפט המחוזי, אשר דחה את עתירתו.</w:t>
      </w:r>
    </w:p>
    <w:p w:rsidR="0060249E" w:rsidRDefault="0060249E">
      <w:pPr>
        <w:pStyle w:val="Ruller40"/>
        <w:rPr>
          <w:rFonts w:hint="cs"/>
          <w:rtl/>
        </w:rPr>
      </w:pPr>
    </w:p>
    <w:p w:rsidR="0060249E" w:rsidRDefault="0060249E">
      <w:pPr>
        <w:pStyle w:val="Ruller40"/>
        <w:rPr>
          <w:rFonts w:hint="cs"/>
          <w:rtl/>
        </w:rPr>
      </w:pPr>
      <w:r>
        <w:rPr>
          <w:rFonts w:hint="cs"/>
          <w:rtl/>
        </w:rPr>
        <w:tab/>
        <w:t xml:space="preserve">במסגרת טיעונו בפנינו, חזר המערער 1 על שלל הטענות שהועלו על-ידו בהודעת הערעור ודרש כי ננחה את הרשויות המוסמכות ליתן לו היתר בניה להרחבת הדירה ולגג השטוח שנבנה על-ידו. </w:t>
      </w:r>
    </w:p>
    <w:p w:rsidR="0060249E" w:rsidRDefault="0060249E">
      <w:pPr>
        <w:pStyle w:val="Ruller40"/>
        <w:rPr>
          <w:rFonts w:hint="cs"/>
          <w:rtl/>
        </w:rPr>
      </w:pPr>
    </w:p>
    <w:p w:rsidR="0060249E" w:rsidRDefault="0060249E">
      <w:pPr>
        <w:pStyle w:val="Ruller40"/>
        <w:rPr>
          <w:rFonts w:hint="cs"/>
          <w:rtl/>
        </w:rPr>
      </w:pPr>
      <w:r>
        <w:rPr>
          <w:rFonts w:hint="cs"/>
          <w:rtl/>
        </w:rPr>
        <w:tab/>
        <w:t>המערערת 2, אמו של המערער 1, קשישה כבת 80, טענה כי היא מתגוררת בדירה מזה כ-55 שנים. הבניה הנטענת בוצעה לפני כ-10 שנים, ולטענתה היא זכאית "</w:t>
      </w:r>
      <w:r>
        <w:rPr>
          <w:rFonts w:ascii="Times New Roman" w:hAnsi="Times New Roman" w:cs="Miriam" w:hint="cs"/>
          <w:spacing w:val="0"/>
          <w:sz w:val="28"/>
          <w:szCs w:val="24"/>
          <w:rtl/>
        </w:rPr>
        <w:t>שיתנו לי את אותו רישיון שמגיע לי</w:t>
      </w:r>
      <w:r>
        <w:rPr>
          <w:rFonts w:hint="cs"/>
          <w:rtl/>
        </w:rPr>
        <w:t>".</w:t>
      </w:r>
    </w:p>
    <w:p w:rsidR="0060249E" w:rsidRDefault="0060249E">
      <w:pPr>
        <w:pStyle w:val="Ruller40"/>
        <w:rPr>
          <w:rFonts w:hint="cs"/>
          <w:rtl/>
        </w:rPr>
      </w:pPr>
    </w:p>
    <w:p w:rsidR="0060249E" w:rsidRDefault="0060249E">
      <w:pPr>
        <w:pStyle w:val="Ruller40"/>
        <w:rPr>
          <w:rFonts w:ascii="Times New Roman" w:hAnsi="Times New Roman" w:cs="Miriam" w:hint="cs"/>
          <w:spacing w:val="0"/>
          <w:sz w:val="28"/>
          <w:szCs w:val="24"/>
          <w:rtl/>
        </w:rPr>
      </w:pPr>
      <w:r>
        <w:rPr>
          <w:rFonts w:ascii="Times New Roman" w:hAnsi="Times New Roman" w:cs="Miriam" w:hint="cs"/>
          <w:spacing w:val="0"/>
          <w:sz w:val="28"/>
          <w:szCs w:val="24"/>
          <w:rtl/>
        </w:rPr>
        <w:t>תגובת המשיבה 1</w:t>
      </w:r>
    </w:p>
    <w:p w:rsidR="0060249E" w:rsidRDefault="0060249E">
      <w:pPr>
        <w:pStyle w:val="Ruller40"/>
        <w:rPr>
          <w:rFonts w:hint="cs"/>
          <w:rtl/>
        </w:rPr>
      </w:pPr>
    </w:p>
    <w:p w:rsidR="0060249E" w:rsidRDefault="0060249E">
      <w:pPr>
        <w:pStyle w:val="Ruller40"/>
        <w:rPr>
          <w:rFonts w:hint="cs"/>
          <w:rtl/>
        </w:rPr>
      </w:pPr>
      <w:r>
        <w:rPr>
          <w:rFonts w:hint="cs"/>
          <w:rtl/>
        </w:rPr>
        <w:t>14.</w:t>
      </w:r>
      <w:r>
        <w:rPr>
          <w:rFonts w:hint="cs"/>
          <w:rtl/>
        </w:rPr>
        <w:tab/>
        <w:t>המשיבה 1, ועדת הערר המחוזית, אשר יוצגה בערעור על-ידי פרקליטות המדינה, טענה כי הקביעה, לפיה מדובר בסטייה ניכרת מהוראות התכנית נעשתה לאחר דיון יסודי וביקור בשטח. כמו כן, נקבע כי אין הצדקה תכנונית לאישור ההקלה, ומדובר בהחלטה מקצועית, מפורטת ומנומקת, המבוססת על תשתית ראייתית רחבה. עוד נטען, כי בית משפט קמא בחן בכובד ראש את טענותיהם של המערערים ולא נמצאה כל עילה להתערב בפסק דינו של בית המשפט.</w:t>
      </w:r>
    </w:p>
    <w:p w:rsidR="0060249E" w:rsidRDefault="0060249E">
      <w:pPr>
        <w:pStyle w:val="Ruller40"/>
        <w:rPr>
          <w:rFonts w:hint="cs"/>
          <w:rtl/>
        </w:rPr>
      </w:pPr>
    </w:p>
    <w:p w:rsidR="0060249E" w:rsidRDefault="0060249E">
      <w:pPr>
        <w:pStyle w:val="Ruller40"/>
        <w:rPr>
          <w:rFonts w:ascii="Times New Roman" w:hAnsi="Times New Roman" w:cs="Miriam" w:hint="cs"/>
          <w:spacing w:val="0"/>
          <w:sz w:val="28"/>
          <w:szCs w:val="24"/>
          <w:rtl/>
        </w:rPr>
      </w:pPr>
      <w:r>
        <w:rPr>
          <w:rFonts w:ascii="Times New Roman" w:hAnsi="Times New Roman" w:cs="Miriam" w:hint="cs"/>
          <w:spacing w:val="0"/>
          <w:sz w:val="28"/>
          <w:szCs w:val="24"/>
          <w:rtl/>
        </w:rPr>
        <w:t>תגובת המשיב 2</w:t>
      </w:r>
    </w:p>
    <w:p w:rsidR="0060249E" w:rsidRDefault="0060249E">
      <w:pPr>
        <w:pStyle w:val="Ruller40"/>
        <w:rPr>
          <w:rFonts w:hint="cs"/>
          <w:rtl/>
        </w:rPr>
      </w:pPr>
    </w:p>
    <w:p w:rsidR="0060249E" w:rsidRDefault="0060249E">
      <w:pPr>
        <w:pStyle w:val="Ruller40"/>
        <w:rPr>
          <w:rFonts w:hint="cs"/>
          <w:rtl/>
        </w:rPr>
      </w:pPr>
      <w:r>
        <w:rPr>
          <w:rFonts w:hint="cs"/>
          <w:rtl/>
        </w:rPr>
        <w:t>15.</w:t>
      </w:r>
      <w:r>
        <w:rPr>
          <w:rFonts w:hint="cs"/>
          <w:rtl/>
        </w:rPr>
        <w:tab/>
        <w:t>המשיב 2 סמך, אף הוא, את ידיו על החלטתה של ועדת הערר, אשר עשתה, לדבריו, את מלאכתה בצורה יסודית ומקצועית. הועדה התייחסה לכל טענותיהם של המערערים ו"</w:t>
      </w:r>
      <w:r>
        <w:rPr>
          <w:rFonts w:ascii="Times New Roman" w:hAnsi="Times New Roman" w:cs="Miriam" w:hint="cs"/>
          <w:spacing w:val="0"/>
          <w:sz w:val="28"/>
          <w:szCs w:val="24"/>
          <w:rtl/>
        </w:rPr>
        <w:t>הדברים נבחנו בצורה מפורטת ומקצועית</w:t>
      </w:r>
      <w:r>
        <w:rPr>
          <w:rFonts w:hint="cs"/>
          <w:rtl/>
        </w:rPr>
        <w:t xml:space="preserve">". גם בית משפט קמא דן בכל טענותיהם של המערערים, והתייחס באורח ענייני ומקצועי לכל הטענות. אשר לטענת </w:t>
      </w:r>
      <w:r>
        <w:rPr>
          <w:rFonts w:hint="cs"/>
          <w:rtl/>
        </w:rPr>
        <w:lastRenderedPageBreak/>
        <w:t>הרדיפה, גורס המשיב 2 כי הדבר אינו רלבנטי לדיון בערעור, ומכל מקום, לגישתו, אין שחר לטענה, שכן המערער 1 הוא שעמד מאחורי מרבית ההליכים המשפטיים שהתנהלו נגדו. עוד נטען, כי המערערים אינם מצייתים לצווי הריסה שהוצאו נגדם, והם עושים דין לעצמם ובאים לבית משפט זה בידיים שאינן נקיות.</w:t>
      </w:r>
    </w:p>
    <w:p w:rsidR="0060249E" w:rsidRDefault="0060249E">
      <w:pPr>
        <w:pStyle w:val="Ruller40"/>
        <w:rPr>
          <w:rFonts w:hint="cs"/>
          <w:rtl/>
        </w:rPr>
      </w:pPr>
    </w:p>
    <w:p w:rsidR="0060249E" w:rsidRDefault="0060249E">
      <w:pPr>
        <w:pStyle w:val="Ruller40"/>
        <w:rPr>
          <w:rFonts w:ascii="Times New Roman" w:hAnsi="Times New Roman" w:cs="Miriam" w:hint="cs"/>
          <w:spacing w:val="0"/>
          <w:sz w:val="28"/>
          <w:szCs w:val="24"/>
          <w:rtl/>
        </w:rPr>
      </w:pPr>
      <w:r>
        <w:rPr>
          <w:rFonts w:ascii="Times New Roman" w:hAnsi="Times New Roman" w:cs="Miriam" w:hint="cs"/>
          <w:spacing w:val="0"/>
          <w:sz w:val="28"/>
          <w:szCs w:val="24"/>
          <w:rtl/>
        </w:rPr>
        <w:t>פנייה נוספת של המערערים</w:t>
      </w:r>
    </w:p>
    <w:p w:rsidR="0060249E" w:rsidRDefault="0060249E">
      <w:pPr>
        <w:pStyle w:val="Ruller40"/>
        <w:rPr>
          <w:rFonts w:hint="cs"/>
          <w:rtl/>
        </w:rPr>
      </w:pPr>
    </w:p>
    <w:p w:rsidR="0060249E" w:rsidRDefault="0060249E">
      <w:pPr>
        <w:pStyle w:val="Ruller40"/>
        <w:rPr>
          <w:rFonts w:hint="cs"/>
          <w:rtl/>
        </w:rPr>
      </w:pPr>
      <w:r>
        <w:rPr>
          <w:rFonts w:hint="cs"/>
          <w:rtl/>
        </w:rPr>
        <w:t>16.</w:t>
      </w:r>
      <w:r>
        <w:rPr>
          <w:rFonts w:hint="cs"/>
          <w:rtl/>
        </w:rPr>
        <w:tab/>
        <w:t>ביום 8.1.2013, שלחו המערערים בקשה "</w:t>
      </w:r>
      <w:r>
        <w:rPr>
          <w:rFonts w:ascii="Times New Roman" w:hAnsi="Times New Roman" w:cs="Miriam" w:hint="cs"/>
          <w:spacing w:val="0"/>
          <w:sz w:val="28"/>
          <w:szCs w:val="24"/>
          <w:rtl/>
        </w:rPr>
        <w:t>בטרם מתן החלטה</w:t>
      </w:r>
      <w:r>
        <w:rPr>
          <w:rFonts w:hint="cs"/>
          <w:rtl/>
        </w:rPr>
        <w:t>" שעיקרה "</w:t>
      </w:r>
      <w:r>
        <w:rPr>
          <w:rFonts w:ascii="Times New Roman" w:hAnsi="Times New Roman" w:cs="Miriam" w:hint="cs"/>
          <w:spacing w:val="0"/>
          <w:sz w:val="28"/>
          <w:szCs w:val="24"/>
          <w:rtl/>
        </w:rPr>
        <w:t>דיון נוסף בפני הרכב מורחב</w:t>
      </w:r>
      <w:r>
        <w:rPr>
          <w:rFonts w:hint="cs"/>
          <w:rtl/>
        </w:rPr>
        <w:t>". בגוף הבקשה נטען כי לא התאפשר למערערים "</w:t>
      </w:r>
      <w:r>
        <w:rPr>
          <w:rFonts w:ascii="Times New Roman" w:hAnsi="Times New Roman" w:cs="Miriam" w:hint="cs"/>
          <w:spacing w:val="0"/>
          <w:sz w:val="28"/>
          <w:szCs w:val="24"/>
          <w:rtl/>
        </w:rPr>
        <w:t>בדיון סוער של כ-20 דקות</w:t>
      </w:r>
      <w:r>
        <w:rPr>
          <w:rFonts w:hint="cs"/>
          <w:rtl/>
        </w:rPr>
        <w:t xml:space="preserve"> </w:t>
      </w:r>
      <w:r>
        <w:rPr>
          <w:rFonts w:ascii="Times New Roman" w:hAnsi="Times New Roman" w:cs="Miriam" w:hint="cs"/>
          <w:spacing w:val="0"/>
          <w:sz w:val="28"/>
          <w:szCs w:val="24"/>
          <w:rtl/>
        </w:rPr>
        <w:t>להציג ראיות וכן לסכם כראוי וכנדרש בסדר הדין</w:t>
      </w:r>
      <w:r>
        <w:rPr>
          <w:rFonts w:hint="cs"/>
          <w:rtl/>
        </w:rPr>
        <w:t>" ועל כן "</w:t>
      </w:r>
      <w:r>
        <w:rPr>
          <w:rFonts w:ascii="Times New Roman" w:hAnsi="Times New Roman" w:cs="Miriam" w:hint="cs"/>
          <w:spacing w:val="0"/>
          <w:sz w:val="28"/>
          <w:szCs w:val="24"/>
          <w:rtl/>
        </w:rPr>
        <w:t>התוצאה עלולה שוב להיות שגויה בעליל והרסנית כלפינו מכל הבחינות</w:t>
      </w:r>
      <w:r>
        <w:rPr>
          <w:rFonts w:hint="cs"/>
          <w:rtl/>
        </w:rPr>
        <w:t>". המערערים חוזרים על טענתם בדבר "</w:t>
      </w:r>
      <w:r>
        <w:rPr>
          <w:rFonts w:ascii="Times New Roman" w:hAnsi="Times New Roman" w:cs="Miriam" w:hint="cs"/>
          <w:spacing w:val="0"/>
          <w:sz w:val="28"/>
          <w:szCs w:val="24"/>
          <w:rtl/>
        </w:rPr>
        <w:t>הבטחה שלטונית</w:t>
      </w:r>
      <w:r>
        <w:rPr>
          <w:rFonts w:hint="cs"/>
          <w:rtl/>
        </w:rPr>
        <w:t>" שניתנה להם, כביכול, על-ידי בית משפט זה, וכן טוענים כי אותו הרכב מורחב צריך לפעול כועדת חקירה "</w:t>
      </w:r>
      <w:r>
        <w:rPr>
          <w:rFonts w:ascii="Times New Roman" w:hAnsi="Times New Roman" w:cs="Miriam" w:hint="cs"/>
          <w:spacing w:val="0"/>
          <w:sz w:val="28"/>
          <w:szCs w:val="24"/>
          <w:rtl/>
        </w:rPr>
        <w:t>וירד לעומקם של עובדות וראיות</w:t>
      </w:r>
      <w:r>
        <w:rPr>
          <w:rFonts w:hint="cs"/>
          <w:rtl/>
        </w:rPr>
        <w:t xml:space="preserve">". </w:t>
      </w:r>
    </w:p>
    <w:p w:rsidR="0060249E" w:rsidRDefault="0060249E">
      <w:pPr>
        <w:pStyle w:val="Ruller40"/>
        <w:rPr>
          <w:rFonts w:hint="cs"/>
          <w:rtl/>
        </w:rPr>
      </w:pPr>
    </w:p>
    <w:p w:rsidR="0060249E" w:rsidRDefault="0060249E">
      <w:pPr>
        <w:pStyle w:val="Ruller40"/>
        <w:rPr>
          <w:rFonts w:hint="cs"/>
          <w:rtl/>
        </w:rPr>
      </w:pPr>
      <w:r>
        <w:rPr>
          <w:rFonts w:hint="cs"/>
          <w:rtl/>
        </w:rPr>
        <w:tab/>
        <w:t>לבסוף, נטען כי "</w:t>
      </w:r>
      <w:r>
        <w:rPr>
          <w:rFonts w:ascii="Times New Roman" w:hAnsi="Times New Roman" w:cs="Miriam" w:hint="cs"/>
          <w:spacing w:val="0"/>
          <w:sz w:val="28"/>
          <w:szCs w:val="24"/>
          <w:rtl/>
        </w:rPr>
        <w:t>קבלת בקשה זו ומתן פס"ד חיובי, הינה בבחינת סיום גורלנו על ידי הרשות השופטת... והרי אנו זכאים כחוק להיתר הבניה</w:t>
      </w:r>
      <w:r>
        <w:rPr>
          <w:rFonts w:hint="cs"/>
          <w:rtl/>
        </w:rPr>
        <w:t>". בבקשתם, המערערים אינם חוסכים את שבט לשונם וטוענים כי מדובר בהתנהלות פלילית מצד פקידי הרשויות שהם "</w:t>
      </w:r>
      <w:r>
        <w:rPr>
          <w:rFonts w:ascii="Times New Roman" w:hAnsi="Times New Roman" w:cs="Miriam" w:hint="cs"/>
          <w:spacing w:val="0"/>
          <w:sz w:val="28"/>
          <w:szCs w:val="24"/>
          <w:rtl/>
        </w:rPr>
        <w:t>בבחינת פשעים נגד האנושות</w:t>
      </w:r>
      <w:r>
        <w:rPr>
          <w:rFonts w:hint="cs"/>
          <w:rtl/>
        </w:rPr>
        <w:t>". בבקשה נאמר עוד כי "</w:t>
      </w:r>
      <w:r>
        <w:rPr>
          <w:rFonts w:ascii="Times New Roman" w:hAnsi="Times New Roman" w:cs="Miriam" w:hint="cs"/>
          <w:spacing w:val="0"/>
          <w:sz w:val="28"/>
          <w:szCs w:val="24"/>
          <w:rtl/>
        </w:rPr>
        <w:t>אם בית משפט נכבד זה יתעלם גם, נפנה אף לבית המשפט הבינלאומי</w:t>
      </w:r>
      <w:r>
        <w:rPr>
          <w:rFonts w:hint="cs"/>
          <w:rtl/>
        </w:rPr>
        <w:t xml:space="preserve">". </w:t>
      </w:r>
    </w:p>
    <w:p w:rsidR="0060249E" w:rsidRDefault="0060249E">
      <w:pPr>
        <w:pStyle w:val="Ruller40"/>
        <w:rPr>
          <w:rFonts w:hint="cs"/>
          <w:rtl/>
        </w:rPr>
      </w:pPr>
    </w:p>
    <w:p w:rsidR="0060249E" w:rsidRDefault="0060249E">
      <w:pPr>
        <w:pStyle w:val="Ruller40"/>
        <w:rPr>
          <w:rFonts w:hint="cs"/>
          <w:rtl/>
        </w:rPr>
      </w:pPr>
      <w:r>
        <w:rPr>
          <w:rFonts w:hint="cs"/>
          <w:rtl/>
        </w:rPr>
        <w:tab/>
        <w:t>לא ביקשנו את תגובתם של המשיבים לפנייה זו, ואנו נתייחס אליה בהמשך דברינו.</w:t>
      </w:r>
    </w:p>
    <w:p w:rsidR="0060249E" w:rsidRDefault="0060249E">
      <w:pPr>
        <w:pStyle w:val="Ruller40"/>
        <w:rPr>
          <w:rFonts w:hint="cs"/>
          <w:rtl/>
        </w:rPr>
      </w:pPr>
    </w:p>
    <w:p w:rsidR="0060249E" w:rsidRDefault="0060249E">
      <w:pPr>
        <w:pStyle w:val="Ruller40"/>
        <w:rPr>
          <w:rFonts w:ascii="Times New Roman" w:hAnsi="Times New Roman" w:cs="Miriam" w:hint="cs"/>
          <w:spacing w:val="0"/>
          <w:sz w:val="28"/>
          <w:szCs w:val="24"/>
          <w:rtl/>
        </w:rPr>
      </w:pPr>
      <w:r>
        <w:rPr>
          <w:rFonts w:ascii="Times New Roman" w:hAnsi="Times New Roman" w:cs="Miriam" w:hint="cs"/>
          <w:spacing w:val="0"/>
          <w:sz w:val="28"/>
          <w:szCs w:val="24"/>
          <w:rtl/>
        </w:rPr>
        <w:t>דיון והכרעה</w:t>
      </w:r>
    </w:p>
    <w:p w:rsidR="0060249E" w:rsidRDefault="0060249E">
      <w:pPr>
        <w:pStyle w:val="Ruller40"/>
        <w:rPr>
          <w:rFonts w:hint="cs"/>
          <w:rtl/>
        </w:rPr>
      </w:pPr>
    </w:p>
    <w:p w:rsidR="0060249E" w:rsidRDefault="0060249E">
      <w:pPr>
        <w:pStyle w:val="Ruller40"/>
        <w:rPr>
          <w:rFonts w:hint="cs"/>
          <w:rtl/>
        </w:rPr>
      </w:pPr>
      <w:r>
        <w:rPr>
          <w:rFonts w:hint="cs"/>
          <w:rtl/>
        </w:rPr>
        <w:t>17.</w:t>
      </w:r>
      <w:r>
        <w:rPr>
          <w:rFonts w:hint="cs"/>
          <w:rtl/>
        </w:rPr>
        <w:tab/>
        <w:t>טרם שנדון בערעורם של המערערים, מן הראוי להזכיר את ההלכה המושרשת, לפיה התערבותו של בית המשפט בהחלטות של מוסדות התכנון והבניה תעשה רק במקרים חריגים ביותר, כגון: אם ההחלטה ניתנה בחוסר תום לב, בחוסר סמכות או אם היא נבעה משיקולים פסולים.</w:t>
      </w:r>
    </w:p>
    <w:p w:rsidR="0060249E" w:rsidRDefault="0060249E">
      <w:pPr>
        <w:pStyle w:val="Ruller40"/>
        <w:rPr>
          <w:rFonts w:hint="cs"/>
          <w:rtl/>
        </w:rPr>
      </w:pPr>
    </w:p>
    <w:p w:rsidR="0060249E" w:rsidRDefault="0060249E">
      <w:pPr>
        <w:pStyle w:val="Ruller40"/>
        <w:rPr>
          <w:rFonts w:hint="cs"/>
          <w:rtl/>
        </w:rPr>
      </w:pPr>
      <w:r>
        <w:rPr>
          <w:rFonts w:hint="cs"/>
          <w:rtl/>
        </w:rPr>
        <w:tab/>
        <w:t>כפי שנקבע ב</w:t>
      </w:r>
      <w:hyperlink r:id="rId40" w:history="1">
        <w:r w:rsidR="006D5E3B" w:rsidRPr="006D5E3B">
          <w:rPr>
            <w:color w:val="0000FF"/>
            <w:u w:val="single"/>
            <w:rtl/>
          </w:rPr>
          <w:t>עע"ם 3478/07</w:t>
        </w:r>
      </w:hyperlink>
      <w:r>
        <w:rPr>
          <w:rFonts w:hint="cs"/>
          <w:rtl/>
        </w:rPr>
        <w:t xml:space="preserve"> </w:t>
      </w:r>
      <w:r>
        <w:rPr>
          <w:rFonts w:ascii="Times New Roman" w:hAnsi="Times New Roman" w:cs="Miriam" w:hint="cs"/>
          <w:spacing w:val="0"/>
          <w:sz w:val="28"/>
          <w:szCs w:val="24"/>
          <w:rtl/>
        </w:rPr>
        <w:t>ביקל נ' הוועדה המחוזית לתכנון ובניה/ מחוז מרכז</w:t>
      </w:r>
      <w:r>
        <w:rPr>
          <w:rFonts w:hint="cs"/>
          <w:rtl/>
        </w:rPr>
        <w:t xml:space="preserve"> </w:t>
      </w:r>
      <w:r w:rsidR="0091755B" w:rsidRPr="0091755B">
        <w:rPr>
          <w:rFonts w:ascii="Times New Roman" w:hAnsi="Times New Roman" w:cs="David"/>
          <w:spacing w:val="0"/>
          <w:szCs w:val="24"/>
          <w:rtl/>
        </w:rPr>
        <w:t xml:space="preserve">[פורסם בנבו] </w:t>
      </w:r>
      <w:r>
        <w:rPr>
          <w:rFonts w:hint="cs"/>
          <w:rtl/>
        </w:rPr>
        <w:t>(29.6.2009):</w:t>
      </w:r>
    </w:p>
    <w:p w:rsidR="0060249E" w:rsidRDefault="0060249E">
      <w:pPr>
        <w:pStyle w:val="Ruller40"/>
        <w:rPr>
          <w:rFonts w:hint="cs"/>
          <w:rtl/>
        </w:rPr>
      </w:pPr>
    </w:p>
    <w:p w:rsidR="0060249E" w:rsidRDefault="0060249E">
      <w:pPr>
        <w:pStyle w:val="Ruller5"/>
        <w:rPr>
          <w:rFonts w:hint="cs"/>
          <w:rtl/>
        </w:rPr>
      </w:pPr>
      <w:r>
        <w:rPr>
          <w:rFonts w:hint="cs"/>
          <w:rtl/>
        </w:rPr>
        <w:lastRenderedPageBreak/>
        <w:t xml:space="preserve">"בית משפט זה חזר ופסק כי סמכות התכנון הופקדה בידיהם של גופי התכנון המנויים בחוק. במרחב שיקול הדעת הניתן להם, ועל יסוד הנחה שהם פועלים בתום לב ובמידה ראויה של סבירות, רשאים ומוסמכים אותם גופים לנוע כרצונם ועל פי שיקול דעתם. בית המשפט לא יתערב בפעילותם של גופי התכנון אלא במקרה של פעולה שלא כחוק או בחוסר סמכות, שלא בתום לב או שלא בסבירות ראויה" (שם, בפיסקה 30, וראו גם, </w:t>
      </w:r>
      <w:hyperlink r:id="rId41" w:history="1">
        <w:r w:rsidR="006D5E3B" w:rsidRPr="0091755B">
          <w:rPr>
            <w:rStyle w:val="Hyperlink"/>
            <w:rtl/>
          </w:rPr>
          <w:t>בג"צ 2920/04</w:t>
        </w:r>
        <w:r w:rsidRPr="0091755B">
          <w:rPr>
            <w:rStyle w:val="Hyperlink"/>
            <w:rFonts w:hint="cs"/>
            <w:rtl/>
          </w:rPr>
          <w:t xml:space="preserve"> </w:t>
        </w:r>
        <w:r w:rsidRPr="0091755B">
          <w:rPr>
            <w:rStyle w:val="Hyperlink"/>
            <w:rFonts w:ascii="Times New Roman" w:hAnsi="Times New Roman" w:cs="Miriam" w:hint="cs"/>
            <w:spacing w:val="0"/>
            <w:sz w:val="28"/>
            <w:szCs w:val="24"/>
            <w:rtl/>
          </w:rPr>
          <w:t>אדם טבע ודין-אגודה ישראלית להגנת הסביבה נ' המועצה הארצית לתכנון ולבניה</w:t>
        </w:r>
        <w:r w:rsidRPr="0091755B">
          <w:rPr>
            <w:rStyle w:val="Hyperlink"/>
            <w:rFonts w:hint="cs"/>
            <w:rtl/>
          </w:rPr>
          <w:t>, פ"ד נ</w:t>
        </w:r>
      </w:hyperlink>
      <w:r>
        <w:rPr>
          <w:rFonts w:hint="cs"/>
          <w:rtl/>
        </w:rPr>
        <w:t xml:space="preserve">(3) 441 (1996); </w:t>
      </w:r>
      <w:hyperlink r:id="rId42" w:history="1">
        <w:r w:rsidR="006D5E3B" w:rsidRPr="006D5E3B">
          <w:rPr>
            <w:color w:val="0000FF"/>
            <w:u w:val="single"/>
            <w:rtl/>
          </w:rPr>
          <w:t>בג"צ 10242/03 מילובלובסקי נ' המועצה הארצית לתכנון ולבניה, פ"ד נח</w:t>
        </w:r>
      </w:hyperlink>
      <w:r>
        <w:rPr>
          <w:rFonts w:hint="cs"/>
          <w:rtl/>
        </w:rPr>
        <w:t xml:space="preserve">(6) 673 (2004); </w:t>
      </w:r>
      <w:hyperlink r:id="rId43" w:history="1">
        <w:r w:rsidR="006D5E3B" w:rsidRPr="006D5E3B">
          <w:rPr>
            <w:color w:val="0000FF"/>
            <w:u w:val="single"/>
            <w:rtl/>
          </w:rPr>
          <w:t>עע"ם 9654/06</w:t>
        </w:r>
      </w:hyperlink>
      <w:r>
        <w:rPr>
          <w:rFonts w:hint="cs"/>
          <w:rtl/>
        </w:rPr>
        <w:t xml:space="preserve"> </w:t>
      </w:r>
      <w:r>
        <w:rPr>
          <w:rFonts w:ascii="Times New Roman" w:hAnsi="Times New Roman" w:cs="Miriam" w:hint="cs"/>
          <w:spacing w:val="0"/>
          <w:sz w:val="28"/>
          <w:szCs w:val="24"/>
          <w:rtl/>
        </w:rPr>
        <w:t>החברה להגנת הטבע נ' ועדת המשנה לעררים של המועצה הארצית לתכנון ולבניה</w:t>
      </w:r>
      <w:r>
        <w:rPr>
          <w:rFonts w:hint="cs"/>
          <w:rtl/>
        </w:rPr>
        <w:t xml:space="preserve"> </w:t>
      </w:r>
      <w:r w:rsidR="0091755B" w:rsidRPr="0091755B">
        <w:rPr>
          <w:rFonts w:ascii="Times New Roman" w:hAnsi="Times New Roman" w:cs="David"/>
          <w:spacing w:val="0"/>
          <w:szCs w:val="24"/>
          <w:rtl/>
        </w:rPr>
        <w:t xml:space="preserve">[פורסם בנבו] </w:t>
      </w:r>
      <w:r>
        <w:rPr>
          <w:rFonts w:hint="cs"/>
          <w:rtl/>
        </w:rPr>
        <w:t>(5.5.2008)).</w:t>
      </w:r>
    </w:p>
    <w:p w:rsidR="0060249E" w:rsidRDefault="0060249E">
      <w:pPr>
        <w:pStyle w:val="Ruller40"/>
        <w:rPr>
          <w:rFonts w:hint="cs"/>
          <w:rtl/>
        </w:rPr>
      </w:pPr>
    </w:p>
    <w:p w:rsidR="0060249E" w:rsidRDefault="0060249E">
      <w:pPr>
        <w:pStyle w:val="Ruller40"/>
        <w:rPr>
          <w:rFonts w:hint="cs"/>
          <w:rtl/>
        </w:rPr>
      </w:pPr>
      <w:r>
        <w:rPr>
          <w:rFonts w:hint="cs"/>
          <w:rtl/>
        </w:rPr>
        <w:tab/>
        <w:t>אשר למידת חוסר הסבירות בהחלטת רשויות התכנון, המצדיקה התערבות בהחלטה, נקבע ב</w:t>
      </w:r>
      <w:hyperlink r:id="rId44" w:history="1">
        <w:r w:rsidR="006D5E3B" w:rsidRPr="006D5E3B">
          <w:rPr>
            <w:color w:val="0000FF"/>
            <w:u w:val="single"/>
            <w:rtl/>
          </w:rPr>
          <w:t>בג"צ 3017/05</w:t>
        </w:r>
      </w:hyperlink>
      <w:r>
        <w:rPr>
          <w:rFonts w:hint="cs"/>
          <w:rtl/>
        </w:rPr>
        <w:t xml:space="preserve"> </w:t>
      </w:r>
      <w:r>
        <w:rPr>
          <w:rFonts w:ascii="Times New Roman" w:hAnsi="Times New Roman" w:cs="Miriam" w:hint="cs"/>
          <w:spacing w:val="0"/>
          <w:sz w:val="28"/>
          <w:szCs w:val="24"/>
          <w:rtl/>
        </w:rPr>
        <w:t>חברת הזרע (1939) בע"מ נ' המועצה הארצית לתכנון ובניה, משרד הפנים</w:t>
      </w:r>
      <w:r>
        <w:rPr>
          <w:rFonts w:hint="cs"/>
          <w:rtl/>
        </w:rPr>
        <w:t xml:space="preserve"> </w:t>
      </w:r>
      <w:r w:rsidR="0091755B" w:rsidRPr="0091755B">
        <w:rPr>
          <w:rFonts w:ascii="Times New Roman" w:hAnsi="Times New Roman" w:cs="David"/>
          <w:spacing w:val="0"/>
          <w:szCs w:val="24"/>
          <w:rtl/>
        </w:rPr>
        <w:t xml:space="preserve">[פורסם בנבו] </w:t>
      </w:r>
      <w:r>
        <w:rPr>
          <w:rFonts w:hint="cs"/>
          <w:rtl/>
        </w:rPr>
        <w:t>(23.3.2011), כי:</w:t>
      </w:r>
    </w:p>
    <w:p w:rsidR="0060249E" w:rsidRDefault="0060249E">
      <w:pPr>
        <w:pStyle w:val="Ruller40"/>
        <w:rPr>
          <w:rFonts w:hint="cs"/>
          <w:rtl/>
        </w:rPr>
      </w:pPr>
    </w:p>
    <w:p w:rsidR="0060249E" w:rsidRDefault="0060249E">
      <w:pPr>
        <w:pStyle w:val="Ruller5"/>
        <w:rPr>
          <w:rFonts w:hint="cs"/>
          <w:rtl/>
        </w:rPr>
      </w:pPr>
      <w:r>
        <w:rPr>
          <w:rFonts w:hint="cs"/>
          <w:rtl/>
        </w:rPr>
        <w:t>"</w:t>
      </w:r>
      <w:r>
        <w:rPr>
          <w:rStyle w:val="Ruller4"/>
          <w:rFonts w:hint="cs"/>
          <w:sz w:val="28"/>
          <w:rtl/>
        </w:rPr>
        <w:t>כלל הוא, כי התערבות בית משפט זה במעשה מינהלי בעילה של אי-סבירות מוגבלת למקרים בהם החלטת הרשות לוקה בחוסר סבירות קיצוני, במובן זה שהיא חורגת לחלוטין ממתחם האפשרויות הסבירות שעמדו בפני הרשות בנסיבות אותו עניין. ככלל, בית המשפט נמנע מהתערבות בשיקול דעת הרשות הציבורית, ונטייה זו גוברת ביתר שאת, מקום שבו ההחלטה הנבחנת מצויה בתחום מומחיותה המקצועית של הרשות, או שהיא מהווה בחירה בין מספר עמדות מקצועיות נוגדות</w:t>
      </w:r>
      <w:r>
        <w:rPr>
          <w:rFonts w:hint="cs"/>
          <w:rtl/>
        </w:rPr>
        <w:t xml:space="preserve">...  אכן, בית המשפט במהותו לא נועד לשמש מוסד מתכנן, והוא אינו 'מוסד תכנון עליון' העומד מעל למוסדות התכנון המנויים בחוק... תפקידו הוא לבחון האם נפל פגם חוקי בדרך התנהלותו ובאופן הפעלת שיקול דעתו של מוסד התכנון" (שם, בפסקה 38, וראו גם, </w:t>
      </w:r>
      <w:hyperlink r:id="rId45" w:history="1">
        <w:r w:rsidR="006D5E3B" w:rsidRPr="006D5E3B">
          <w:rPr>
            <w:color w:val="0000FF"/>
            <w:u w:val="single"/>
            <w:rtl/>
          </w:rPr>
          <w:t>עע"ם 2273/03</w:t>
        </w:r>
      </w:hyperlink>
      <w:r>
        <w:rPr>
          <w:rFonts w:hint="cs"/>
          <w:rtl/>
        </w:rPr>
        <w:t xml:space="preserve"> </w:t>
      </w:r>
      <w:r>
        <w:rPr>
          <w:rFonts w:ascii="Times New Roman" w:hAnsi="Times New Roman" w:cs="Miriam" w:hint="cs"/>
          <w:spacing w:val="0"/>
          <w:sz w:val="28"/>
          <w:szCs w:val="24"/>
          <w:rtl/>
        </w:rPr>
        <w:t>אי התכלת שותפות כללית נ' החברה להגנת הטבע</w:t>
      </w:r>
      <w:r>
        <w:rPr>
          <w:rFonts w:hint="cs"/>
          <w:rtl/>
        </w:rPr>
        <w:t xml:space="preserve"> </w:t>
      </w:r>
      <w:r w:rsidR="0091755B" w:rsidRPr="0091755B">
        <w:rPr>
          <w:rFonts w:ascii="Times New Roman" w:hAnsi="Times New Roman" w:cs="David"/>
          <w:spacing w:val="0"/>
          <w:szCs w:val="24"/>
          <w:rtl/>
        </w:rPr>
        <w:t xml:space="preserve">[פורסם בנבו] </w:t>
      </w:r>
      <w:r>
        <w:rPr>
          <w:rFonts w:hint="cs"/>
          <w:rtl/>
        </w:rPr>
        <w:t xml:space="preserve">(7.12.2006); </w:t>
      </w:r>
      <w:hyperlink r:id="rId46" w:history="1">
        <w:r w:rsidR="006D5E3B" w:rsidRPr="006D5E3B">
          <w:rPr>
            <w:color w:val="0000FF"/>
            <w:u w:val="single"/>
            <w:rtl/>
          </w:rPr>
          <w:t>עע"ם 4881/08</w:t>
        </w:r>
      </w:hyperlink>
      <w:r>
        <w:rPr>
          <w:rFonts w:hint="cs"/>
          <w:rtl/>
        </w:rPr>
        <w:t xml:space="preserve"> </w:t>
      </w:r>
      <w:r>
        <w:rPr>
          <w:rFonts w:ascii="Times New Roman" w:hAnsi="Times New Roman" w:cs="Miriam" w:hint="cs"/>
          <w:spacing w:val="0"/>
          <w:sz w:val="28"/>
          <w:szCs w:val="24"/>
          <w:rtl/>
        </w:rPr>
        <w:t>אלמוג אילת (מ.ד.ע.) 2000 בע"מ נ' הועדה המקומית לתכנון ובניה אילת</w:t>
      </w:r>
      <w:r>
        <w:rPr>
          <w:rFonts w:hint="cs"/>
          <w:rtl/>
        </w:rPr>
        <w:t xml:space="preserve"> </w:t>
      </w:r>
      <w:r w:rsidR="0091755B" w:rsidRPr="0091755B">
        <w:rPr>
          <w:rFonts w:ascii="Times New Roman" w:hAnsi="Times New Roman" w:cs="David"/>
          <w:spacing w:val="0"/>
          <w:szCs w:val="24"/>
          <w:rtl/>
        </w:rPr>
        <w:t xml:space="preserve">[פורסם בנבו] </w:t>
      </w:r>
      <w:r>
        <w:rPr>
          <w:rFonts w:hint="cs"/>
          <w:rtl/>
        </w:rPr>
        <w:t xml:space="preserve">(10.2.2010); </w:t>
      </w:r>
      <w:hyperlink r:id="rId47" w:history="1">
        <w:r w:rsidR="006D5E3B" w:rsidRPr="006D5E3B">
          <w:rPr>
            <w:color w:val="0000FF"/>
            <w:u w:val="single"/>
            <w:rtl/>
          </w:rPr>
          <w:t>בג"צ 1003/03</w:t>
        </w:r>
      </w:hyperlink>
      <w:r>
        <w:rPr>
          <w:rFonts w:hint="cs"/>
          <w:rtl/>
        </w:rPr>
        <w:t xml:space="preserve"> </w:t>
      </w:r>
      <w:r>
        <w:rPr>
          <w:rFonts w:ascii="Times New Roman" w:hAnsi="Times New Roman" w:cs="Miriam" w:hint="cs"/>
          <w:spacing w:val="0"/>
          <w:sz w:val="28"/>
          <w:szCs w:val="24"/>
          <w:rtl/>
        </w:rPr>
        <w:t>ראש עיריית סחנין נ' המועצה הארצית לתכנון ובניה</w:t>
      </w:r>
      <w:r>
        <w:rPr>
          <w:rFonts w:hint="cs"/>
          <w:rtl/>
        </w:rPr>
        <w:t xml:space="preserve"> </w:t>
      </w:r>
      <w:r w:rsidR="0091755B" w:rsidRPr="0091755B">
        <w:rPr>
          <w:rFonts w:ascii="Times New Roman" w:hAnsi="Times New Roman" w:cs="David"/>
          <w:spacing w:val="0"/>
          <w:szCs w:val="24"/>
          <w:rtl/>
        </w:rPr>
        <w:t xml:space="preserve">[פורסם בנבו] </w:t>
      </w:r>
      <w:r>
        <w:rPr>
          <w:rFonts w:hint="cs"/>
          <w:rtl/>
        </w:rPr>
        <w:t>(21.7.2004)).</w:t>
      </w:r>
    </w:p>
    <w:p w:rsidR="0060249E" w:rsidRDefault="0060249E">
      <w:pPr>
        <w:pStyle w:val="Ruller40"/>
        <w:rPr>
          <w:rFonts w:hint="cs"/>
          <w:rtl/>
        </w:rPr>
      </w:pPr>
    </w:p>
    <w:p w:rsidR="0060249E" w:rsidRDefault="0060249E">
      <w:pPr>
        <w:pStyle w:val="Ruller40"/>
        <w:rPr>
          <w:rFonts w:hint="cs"/>
          <w:rtl/>
        </w:rPr>
      </w:pPr>
      <w:r>
        <w:rPr>
          <w:rFonts w:hint="cs"/>
          <w:rtl/>
        </w:rPr>
        <w:t>18.</w:t>
      </w:r>
      <w:r>
        <w:rPr>
          <w:rFonts w:hint="cs"/>
          <w:rtl/>
        </w:rPr>
        <w:tab/>
        <w:t>ככל שמדובר בהליך המתקיים בפני ועדת ערר, שהיא בגדר "</w:t>
      </w:r>
      <w:r>
        <w:rPr>
          <w:rFonts w:ascii="Times New Roman" w:hAnsi="Times New Roman" w:cs="Miriam" w:hint="cs"/>
          <w:spacing w:val="0"/>
          <w:sz w:val="28"/>
          <w:szCs w:val="24"/>
          <w:rtl/>
        </w:rPr>
        <w:t>מוסד תכנון</w:t>
      </w:r>
      <w:r>
        <w:rPr>
          <w:rFonts w:hint="cs"/>
          <w:rtl/>
        </w:rPr>
        <w:t xml:space="preserve">", כהגדרתו </w:t>
      </w:r>
      <w:hyperlink r:id="rId48" w:history="1">
        <w:r w:rsidR="00FE30BD" w:rsidRPr="00FE30BD">
          <w:rPr>
            <w:color w:val="0000FF"/>
            <w:u w:val="single"/>
            <w:rtl/>
          </w:rPr>
          <w:t>בסעיף 11א(א)</w:t>
        </w:r>
      </w:hyperlink>
      <w:r>
        <w:rPr>
          <w:rFonts w:hint="cs"/>
          <w:rtl/>
        </w:rPr>
        <w:t xml:space="preserve"> ל</w:t>
      </w:r>
      <w:hyperlink r:id="rId49" w:history="1">
        <w:r w:rsidR="00665961" w:rsidRPr="00665961">
          <w:rPr>
            <w:color w:val="0000FF"/>
            <w:u w:val="single"/>
            <w:rtl/>
          </w:rPr>
          <w:t>חוק התכנון והבניה</w:t>
        </w:r>
      </w:hyperlink>
      <w:r>
        <w:rPr>
          <w:rFonts w:hint="cs"/>
          <w:rtl/>
        </w:rPr>
        <w:t xml:space="preserve">, הרי שועדת הערר רשאית לשים את שיקול דעתה המקצועי במקום שיקול דעתה של הועדה המקומית. הביקורת שמפעילה </w:t>
      </w:r>
      <w:r>
        <w:rPr>
          <w:rFonts w:hint="cs"/>
          <w:rtl/>
        </w:rPr>
        <w:lastRenderedPageBreak/>
        <w:t>ועדת הערר נעשית בדרך של בחינה מחדש (</w:t>
      </w:r>
      <w:r>
        <w:t>DE NOVO</w:t>
      </w:r>
      <w:r>
        <w:rPr>
          <w:rFonts w:hint="cs"/>
          <w:rtl/>
        </w:rPr>
        <w:t>) של ההחלטה, בהתאם לשיקולים מקצועיים ותכנוניים (</w:t>
      </w:r>
      <w:hyperlink r:id="rId50" w:history="1">
        <w:r w:rsidR="00FE30BD" w:rsidRPr="00FE30BD">
          <w:rPr>
            <w:color w:val="0000FF"/>
            <w:u w:val="single"/>
            <w:rtl/>
          </w:rPr>
          <w:t>סעיף 152(ד)</w:t>
        </w:r>
      </w:hyperlink>
      <w:r>
        <w:rPr>
          <w:rFonts w:hint="cs"/>
          <w:rtl/>
        </w:rPr>
        <w:t xml:space="preserve"> ל</w:t>
      </w:r>
      <w:hyperlink r:id="rId51" w:history="1">
        <w:r w:rsidR="00665961" w:rsidRPr="00665961">
          <w:rPr>
            <w:color w:val="0000FF"/>
            <w:u w:val="single"/>
            <w:rtl/>
          </w:rPr>
          <w:t>חוק התכנון והבניה</w:t>
        </w:r>
      </w:hyperlink>
      <w:r>
        <w:rPr>
          <w:rFonts w:hint="cs"/>
          <w:rtl/>
        </w:rPr>
        <w:t>). בכך, שונה ביקורתה של ועדת הערר מהביקורת המופעלת על ידי בתי המשפט, כפי שהובהר לעיל.</w:t>
      </w:r>
    </w:p>
    <w:p w:rsidR="0060249E" w:rsidRDefault="0060249E">
      <w:pPr>
        <w:pStyle w:val="Ruller40"/>
        <w:rPr>
          <w:rFonts w:hint="cs"/>
          <w:rtl/>
        </w:rPr>
      </w:pPr>
    </w:p>
    <w:p w:rsidR="0060249E" w:rsidRDefault="0060249E">
      <w:pPr>
        <w:pStyle w:val="Ruller40"/>
        <w:rPr>
          <w:rFonts w:hint="cs"/>
          <w:rtl/>
        </w:rPr>
      </w:pPr>
      <w:r>
        <w:rPr>
          <w:rFonts w:hint="cs"/>
          <w:rtl/>
        </w:rPr>
        <w:t>19.</w:t>
      </w:r>
      <w:r>
        <w:rPr>
          <w:rFonts w:hint="cs"/>
          <w:rtl/>
        </w:rPr>
        <w:tab/>
        <w:t>נושא נוסף שראוי להדרש אליו, טרם הדיון בערעור גופו, נוגע לסוגיית ההקלה. המונח "</w:t>
      </w:r>
      <w:r>
        <w:rPr>
          <w:rFonts w:ascii="Times New Roman" w:hAnsi="Times New Roman" w:cs="Miriam" w:hint="cs"/>
          <w:spacing w:val="0"/>
          <w:sz w:val="28"/>
          <w:szCs w:val="24"/>
          <w:rtl/>
        </w:rPr>
        <w:t>הקלה</w:t>
      </w:r>
      <w:r>
        <w:rPr>
          <w:rFonts w:hint="cs"/>
          <w:rtl/>
        </w:rPr>
        <w:t xml:space="preserve">" הוגדר </w:t>
      </w:r>
      <w:hyperlink r:id="rId52" w:history="1">
        <w:r w:rsidR="00FE30BD" w:rsidRPr="00FE30BD">
          <w:rPr>
            <w:color w:val="0000FF"/>
            <w:u w:val="single"/>
            <w:rtl/>
          </w:rPr>
          <w:t>בסעיף 1</w:t>
        </w:r>
      </w:hyperlink>
      <w:r>
        <w:rPr>
          <w:rFonts w:hint="cs"/>
          <w:rtl/>
        </w:rPr>
        <w:t xml:space="preserve"> ל</w:t>
      </w:r>
      <w:hyperlink r:id="rId53" w:history="1">
        <w:r w:rsidR="00665961" w:rsidRPr="00665961">
          <w:rPr>
            <w:color w:val="0000FF"/>
            <w:u w:val="single"/>
            <w:rtl/>
          </w:rPr>
          <w:t>חוק התכנון והבניה</w:t>
        </w:r>
      </w:hyperlink>
      <w:r>
        <w:rPr>
          <w:rFonts w:hint="cs"/>
          <w:rtl/>
        </w:rPr>
        <w:t>, בהאי לישנא "</w:t>
      </w:r>
      <w:r>
        <w:rPr>
          <w:rFonts w:ascii="Times New Roman" w:hAnsi="Times New Roman" w:cs="Miriam" w:hint="cs"/>
          <w:spacing w:val="0"/>
          <w:sz w:val="28"/>
          <w:szCs w:val="24"/>
          <w:rtl/>
        </w:rPr>
        <w:t>הרשאה לבצע עבודה שהיא טעונה היתר לפי סעיף 145 בסטייה מהוראות תכנית או תקנה אחרת החלות במקום הנדון ושאין בה משום שימוש חורג</w:t>
      </w:r>
      <w:r>
        <w:rPr>
          <w:rFonts w:hint="cs"/>
          <w:rtl/>
        </w:rPr>
        <w:t>".</w:t>
      </w:r>
    </w:p>
    <w:p w:rsidR="0060249E" w:rsidRDefault="0060249E">
      <w:pPr>
        <w:pStyle w:val="Ruller40"/>
        <w:rPr>
          <w:rFonts w:hint="cs"/>
          <w:rtl/>
        </w:rPr>
      </w:pPr>
    </w:p>
    <w:p w:rsidR="0060249E" w:rsidRDefault="0060249E">
      <w:pPr>
        <w:pStyle w:val="Ruller40"/>
        <w:rPr>
          <w:rFonts w:hint="cs"/>
          <w:rtl/>
        </w:rPr>
      </w:pPr>
      <w:r>
        <w:rPr>
          <w:rFonts w:hint="cs"/>
          <w:rtl/>
        </w:rPr>
        <w:tab/>
        <w:t xml:space="preserve">הסמכות למתן הקלה מעוגנת </w:t>
      </w:r>
      <w:hyperlink r:id="rId54" w:history="1">
        <w:r w:rsidR="00FE30BD" w:rsidRPr="00FE30BD">
          <w:rPr>
            <w:color w:val="0000FF"/>
            <w:u w:val="single"/>
            <w:rtl/>
          </w:rPr>
          <w:t>בסעיף 147</w:t>
        </w:r>
      </w:hyperlink>
      <w:r>
        <w:rPr>
          <w:rFonts w:hint="cs"/>
          <w:rtl/>
        </w:rPr>
        <w:t xml:space="preserve"> ל</w:t>
      </w:r>
      <w:hyperlink r:id="rId55" w:history="1">
        <w:r w:rsidR="00665961" w:rsidRPr="00665961">
          <w:rPr>
            <w:color w:val="0000FF"/>
            <w:u w:val="single"/>
            <w:rtl/>
          </w:rPr>
          <w:t>חוק התכנון והבניה</w:t>
        </w:r>
      </w:hyperlink>
      <w:r>
        <w:rPr>
          <w:rFonts w:hint="cs"/>
          <w:rtl/>
        </w:rPr>
        <w:t>, שזה לשונו: "</w:t>
      </w:r>
      <w:r>
        <w:rPr>
          <w:rFonts w:ascii="Times New Roman" w:hAnsi="Times New Roman" w:cs="Miriam" w:hint="cs"/>
          <w:spacing w:val="0"/>
          <w:sz w:val="28"/>
          <w:szCs w:val="24"/>
          <w:rtl/>
        </w:rPr>
        <w:t>הועדה המקומית רשאית לתת הקלה למבקש היתר לפי סעיף 145</w:t>
      </w:r>
      <w:r>
        <w:rPr>
          <w:rFonts w:hint="cs"/>
          <w:rtl/>
        </w:rPr>
        <w:t xml:space="preserve">". </w:t>
      </w:r>
      <w:hyperlink r:id="rId56" w:history="1">
        <w:r w:rsidR="00FE30BD" w:rsidRPr="00FE30BD">
          <w:rPr>
            <w:color w:val="0000FF"/>
            <w:u w:val="single"/>
            <w:rtl/>
          </w:rPr>
          <w:t>סעיף 151(א)</w:t>
        </w:r>
      </w:hyperlink>
      <w:r>
        <w:rPr>
          <w:rFonts w:hint="cs"/>
          <w:rtl/>
        </w:rPr>
        <w:t xml:space="preserve"> ל</w:t>
      </w:r>
      <w:hyperlink r:id="rId57" w:history="1">
        <w:r w:rsidR="00665961" w:rsidRPr="00665961">
          <w:rPr>
            <w:color w:val="0000FF"/>
            <w:u w:val="single"/>
            <w:rtl/>
          </w:rPr>
          <w:t>חוק התכנון והבניה</w:t>
        </w:r>
      </w:hyperlink>
      <w:r>
        <w:rPr>
          <w:rFonts w:hint="cs"/>
          <w:rtl/>
        </w:rPr>
        <w:t xml:space="preserve"> קובע, כי: "</w:t>
      </w:r>
      <w:r>
        <w:rPr>
          <w:rFonts w:ascii="Times New Roman" w:hAnsi="Times New Roman" w:cs="Miriam" w:hint="cs"/>
          <w:spacing w:val="0"/>
          <w:sz w:val="28"/>
          <w:szCs w:val="24"/>
          <w:rtl/>
        </w:rPr>
        <w:t>לא יינתנו הקלה או היתר לשימוש חורג אם יש בכך סטייה ניכרת מתכנית החלה על הקרקע או הבניין</w:t>
      </w:r>
      <w:r>
        <w:rPr>
          <w:rFonts w:hint="cs"/>
          <w:rtl/>
        </w:rPr>
        <w:t xml:space="preserve">". </w:t>
      </w:r>
      <w:hyperlink r:id="rId58" w:history="1">
        <w:r w:rsidR="00FE30BD" w:rsidRPr="00FE30BD">
          <w:rPr>
            <w:color w:val="0000FF"/>
            <w:u w:val="single"/>
            <w:rtl/>
          </w:rPr>
          <w:t>סעיף 151(ב)</w:t>
        </w:r>
      </w:hyperlink>
      <w:r>
        <w:rPr>
          <w:rFonts w:hint="cs"/>
          <w:rtl/>
        </w:rPr>
        <w:t xml:space="preserve"> לחוק מוסיף וקובע כי "</w:t>
      </w:r>
      <w:r>
        <w:rPr>
          <w:rFonts w:ascii="Times New Roman" w:hAnsi="Times New Roman" w:cs="Miriam" w:hint="cs"/>
          <w:spacing w:val="0"/>
          <w:sz w:val="28"/>
          <w:szCs w:val="24"/>
          <w:rtl/>
        </w:rPr>
        <w:t>תוספת לשטח הכולל המותר לבניה על פי הקבוע בתכנית שהופקדה לאחר כ"ט בתמוז תשמ"ט (1 באוגוסט 1989), היא סטייה ניכרת; שר הפנים, בהתייעצות עם המועצה הארצית, רשאי לקבוע, בתקנות, מה עוד ייחשב כסטייה ניכרת לעניין סעיף זה</w:t>
      </w:r>
      <w:r>
        <w:rPr>
          <w:rFonts w:hint="cs"/>
          <w:rtl/>
        </w:rPr>
        <w:t>".</w:t>
      </w:r>
    </w:p>
    <w:p w:rsidR="0060249E" w:rsidRDefault="0060249E">
      <w:pPr>
        <w:pStyle w:val="Ruller40"/>
        <w:rPr>
          <w:rFonts w:hint="cs"/>
          <w:rtl/>
        </w:rPr>
      </w:pPr>
    </w:p>
    <w:p w:rsidR="0060249E" w:rsidRDefault="0060249E">
      <w:pPr>
        <w:pStyle w:val="Ruller40"/>
        <w:rPr>
          <w:rFonts w:hint="cs"/>
          <w:rtl/>
        </w:rPr>
      </w:pPr>
      <w:r>
        <w:rPr>
          <w:rFonts w:hint="cs"/>
          <w:rtl/>
        </w:rPr>
        <w:tab/>
        <w:t xml:space="preserve">ביום 15.4.2002, פורסמו על-ידי שר הפנים </w:t>
      </w:r>
      <w:r w:rsidR="006D5E3B" w:rsidRPr="00665961">
        <w:rPr>
          <w:rtl/>
        </w:rPr>
        <w:t>תקנות התכנון והבניה</w:t>
      </w:r>
      <w:r>
        <w:rPr>
          <w:rFonts w:hint="cs"/>
          <w:rtl/>
        </w:rPr>
        <w:t xml:space="preserve"> (סטייה ניכרת מתכנית), התשס"ב-2002 (להלן: </w:t>
      </w:r>
      <w:r>
        <w:rPr>
          <w:rFonts w:ascii="Times New Roman" w:hAnsi="Times New Roman" w:cs="Miriam" w:hint="cs"/>
          <w:spacing w:val="0"/>
          <w:sz w:val="28"/>
          <w:szCs w:val="24"/>
          <w:rtl/>
        </w:rPr>
        <w:t>התקנות</w:t>
      </w:r>
      <w:r>
        <w:rPr>
          <w:rFonts w:hint="cs"/>
          <w:rtl/>
        </w:rPr>
        <w:t>), ו</w:t>
      </w:r>
      <w:hyperlink r:id="rId59" w:history="1">
        <w:r w:rsidR="00FE30BD" w:rsidRPr="00FE30BD">
          <w:rPr>
            <w:rStyle w:val="Hyperlink"/>
            <w:rFonts w:hint="eastAsia"/>
            <w:rtl/>
          </w:rPr>
          <w:t>סעיף</w:t>
        </w:r>
        <w:r w:rsidR="00FE30BD" w:rsidRPr="00FE30BD">
          <w:rPr>
            <w:rStyle w:val="Hyperlink"/>
            <w:rtl/>
          </w:rPr>
          <w:t xml:space="preserve"> 2</w:t>
        </w:r>
      </w:hyperlink>
      <w:r>
        <w:rPr>
          <w:rFonts w:hint="cs"/>
          <w:rtl/>
        </w:rPr>
        <w:t xml:space="preserve"> לתקנות מפרט את משמעות המונח "</w:t>
      </w:r>
      <w:r>
        <w:rPr>
          <w:rFonts w:ascii="Times New Roman" w:hAnsi="Times New Roman" w:cs="Miriam" w:hint="cs"/>
          <w:spacing w:val="0"/>
          <w:sz w:val="28"/>
          <w:szCs w:val="24"/>
          <w:rtl/>
        </w:rPr>
        <w:t>סטייה ניכרת</w:t>
      </w:r>
      <w:r>
        <w:rPr>
          <w:rFonts w:hint="cs"/>
          <w:rtl/>
        </w:rPr>
        <w:t xml:space="preserve">". בין היתר, נקבע </w:t>
      </w:r>
      <w:hyperlink r:id="rId60" w:history="1">
        <w:r w:rsidR="00FE30BD" w:rsidRPr="00FE30BD">
          <w:rPr>
            <w:rStyle w:val="Hyperlink"/>
            <w:rFonts w:hint="eastAsia"/>
            <w:rtl/>
          </w:rPr>
          <w:t>בסעיף</w:t>
        </w:r>
        <w:r w:rsidR="00FE30BD" w:rsidRPr="00FE30BD">
          <w:rPr>
            <w:rStyle w:val="Hyperlink"/>
            <w:rtl/>
          </w:rPr>
          <w:t xml:space="preserve"> 2(10)</w:t>
        </w:r>
      </w:hyperlink>
      <w:r>
        <w:rPr>
          <w:rFonts w:hint="cs"/>
          <w:rtl/>
        </w:rPr>
        <w:t xml:space="preserve"> לתקנות כי תחשב כסטייה ניכרת "</w:t>
      </w:r>
      <w:r>
        <w:rPr>
          <w:rFonts w:ascii="Times New Roman" w:hAnsi="Times New Roman" w:cs="Miriam" w:hint="cs"/>
          <w:spacing w:val="0"/>
          <w:sz w:val="28"/>
          <w:szCs w:val="24"/>
          <w:rtl/>
        </w:rPr>
        <w:t>בניה שלא בהתאם לדרישות בינוי או עיצוב המפורטות בתכנית, שנועדו לקבוע את אופייה של הבניה בתחום התכנית או לשמור על אופי וחזות הסביבה</w:t>
      </w:r>
      <w:r>
        <w:rPr>
          <w:rFonts w:hint="cs"/>
          <w:rtl/>
        </w:rPr>
        <w:t xml:space="preserve">". עוד ראוי להזכיר את </w:t>
      </w:r>
      <w:hyperlink r:id="rId61" w:history="1">
        <w:r w:rsidR="00FE30BD" w:rsidRPr="00FE30BD">
          <w:rPr>
            <w:rStyle w:val="Hyperlink"/>
            <w:rFonts w:hint="eastAsia"/>
            <w:rtl/>
          </w:rPr>
          <w:t>סעיף</w:t>
        </w:r>
        <w:r w:rsidR="00FE30BD" w:rsidRPr="00FE30BD">
          <w:rPr>
            <w:rStyle w:val="Hyperlink"/>
            <w:rtl/>
          </w:rPr>
          <w:t xml:space="preserve"> 6(א)</w:t>
        </w:r>
      </w:hyperlink>
      <w:r>
        <w:rPr>
          <w:rFonts w:hint="cs"/>
          <w:rtl/>
        </w:rPr>
        <w:t xml:space="preserve"> לתקנות, הקובע כי "</w:t>
      </w:r>
      <w:r>
        <w:rPr>
          <w:rFonts w:ascii="Times New Roman" w:hAnsi="Times New Roman" w:cs="Miriam" w:hint="cs"/>
          <w:spacing w:val="0"/>
          <w:sz w:val="28"/>
          <w:szCs w:val="24"/>
          <w:rtl/>
        </w:rPr>
        <w:t>אין בתקנות אלה כדי לחייב מוסד תכנון לאשר מתן היתר לשימוש חורג או מתן הקלה מתכנית, אם אין בהם סטייה ניכרת מהוראות התכנית</w:t>
      </w:r>
      <w:r>
        <w:rPr>
          <w:rFonts w:hint="cs"/>
          <w:rtl/>
        </w:rPr>
        <w:t>".</w:t>
      </w:r>
    </w:p>
    <w:p w:rsidR="0060249E" w:rsidRDefault="0060249E">
      <w:pPr>
        <w:pStyle w:val="Ruller40"/>
        <w:rPr>
          <w:rFonts w:hint="cs"/>
          <w:rtl/>
        </w:rPr>
      </w:pPr>
    </w:p>
    <w:p w:rsidR="0060249E" w:rsidRDefault="0060249E">
      <w:pPr>
        <w:pStyle w:val="Ruller40"/>
        <w:rPr>
          <w:rFonts w:hint="cs"/>
          <w:rtl/>
        </w:rPr>
      </w:pPr>
      <w:r>
        <w:rPr>
          <w:rFonts w:hint="cs"/>
          <w:rtl/>
        </w:rPr>
        <w:t>20.</w:t>
      </w:r>
      <w:r>
        <w:rPr>
          <w:rFonts w:hint="cs"/>
          <w:rtl/>
        </w:rPr>
        <w:tab/>
        <w:t>בבוא מוסד תכנון לבחון בקשה להקלה, תוך סטייה מהוראות תכנית, עליו לערוך בחינה דו שלבית. בשלב הראשון, תבחן השאלה אם ההקלה המבוקשת היא בגדר "</w:t>
      </w:r>
      <w:r>
        <w:rPr>
          <w:rFonts w:ascii="Times New Roman" w:hAnsi="Times New Roman" w:cs="Miriam" w:hint="cs"/>
          <w:spacing w:val="0"/>
          <w:sz w:val="28"/>
          <w:szCs w:val="24"/>
          <w:rtl/>
        </w:rPr>
        <w:t>סטייה ניכרת</w:t>
      </w:r>
      <w:r>
        <w:rPr>
          <w:rFonts w:hint="cs"/>
          <w:rtl/>
        </w:rPr>
        <w:t>" מהוראות התכנית. אם המסקנה היא כי אכן מדובר בסטייה ניכרת, בכך ייסתם הגולל על הבקשה, והיא תידחה בלא צורך בבחינה נוספת.</w:t>
      </w:r>
    </w:p>
    <w:p w:rsidR="0060249E" w:rsidRDefault="0060249E">
      <w:pPr>
        <w:pStyle w:val="Ruller40"/>
        <w:rPr>
          <w:rFonts w:hint="cs"/>
          <w:rtl/>
        </w:rPr>
      </w:pPr>
    </w:p>
    <w:p w:rsidR="0060249E" w:rsidRDefault="0060249E">
      <w:pPr>
        <w:pStyle w:val="Ruller40"/>
        <w:rPr>
          <w:rFonts w:hint="cs"/>
          <w:rtl/>
        </w:rPr>
      </w:pPr>
      <w:r>
        <w:rPr>
          <w:rFonts w:hint="cs"/>
          <w:rtl/>
        </w:rPr>
        <w:tab/>
        <w:t>אם, לעומת זאת, הגיע מוסד התכנון למסקנה כי אין מדובר בסטייה ניכרת, כי אז עליו לבחון את הבקשה לגופה, תוך הפעלת שיקול דעת תכנוני. ב</w:t>
      </w:r>
      <w:hyperlink r:id="rId62" w:history="1">
        <w:r w:rsidR="006D5E3B" w:rsidRPr="006D5E3B">
          <w:rPr>
            <w:color w:val="0000FF"/>
            <w:u w:val="single"/>
            <w:rtl/>
          </w:rPr>
          <w:t>עע"ם 8445/06</w:t>
        </w:r>
      </w:hyperlink>
      <w:r>
        <w:rPr>
          <w:rFonts w:hint="cs"/>
          <w:rtl/>
        </w:rPr>
        <w:t xml:space="preserve"> </w:t>
      </w:r>
      <w:r>
        <w:rPr>
          <w:rFonts w:ascii="Times New Roman" w:hAnsi="Times New Roman" w:cs="Miriam" w:hint="cs"/>
          <w:spacing w:val="0"/>
          <w:sz w:val="28"/>
          <w:szCs w:val="24"/>
          <w:rtl/>
        </w:rPr>
        <w:lastRenderedPageBreak/>
        <w:t>זלצמן נ' ועדת הערר לתכנון ולבניה מחוז תל אביב</w:t>
      </w:r>
      <w:r>
        <w:rPr>
          <w:rFonts w:hint="cs"/>
          <w:rtl/>
        </w:rPr>
        <w:t xml:space="preserve"> </w:t>
      </w:r>
      <w:r w:rsidR="0091755B" w:rsidRPr="0091755B">
        <w:rPr>
          <w:rFonts w:ascii="Times New Roman" w:hAnsi="Times New Roman" w:cs="David"/>
          <w:spacing w:val="0"/>
          <w:szCs w:val="24"/>
          <w:rtl/>
        </w:rPr>
        <w:t xml:space="preserve">[פורסם בנבו] </w:t>
      </w:r>
      <w:r>
        <w:rPr>
          <w:rFonts w:hint="cs"/>
          <w:rtl/>
        </w:rPr>
        <w:t>(28.10.2010), נדרש בית משפט זה למנגנון ההקלה, באומרו:</w:t>
      </w:r>
    </w:p>
    <w:p w:rsidR="0060249E" w:rsidRDefault="0060249E">
      <w:pPr>
        <w:pStyle w:val="Ruller40"/>
        <w:rPr>
          <w:rFonts w:hint="cs"/>
          <w:rtl/>
        </w:rPr>
      </w:pPr>
    </w:p>
    <w:p w:rsidR="0060249E" w:rsidRDefault="0060249E">
      <w:pPr>
        <w:pStyle w:val="Ruller5"/>
        <w:rPr>
          <w:rFonts w:hint="cs"/>
          <w:rtl/>
        </w:rPr>
      </w:pPr>
      <w:r>
        <w:rPr>
          <w:rFonts w:hint="cs"/>
          <w:rtl/>
        </w:rPr>
        <w:t xml:space="preserve">"בית משפט זה ביקר בעבר בחריפות את מנגנון ההקלות ואת יישומו על ידי ועדות מקומיות... יחד עם זאת הוכרה גם חשיבותו של המנגנון... לענייננו העיקר הוא כי נקבע </w:t>
      </w:r>
      <w:r>
        <w:rPr>
          <w:rFonts w:ascii="Times New Roman" w:hAnsi="Times New Roman" w:hint="cs"/>
          <w:rtl/>
        </w:rPr>
        <w:t>מפורשות</w:t>
      </w:r>
      <w:r>
        <w:rPr>
          <w:rFonts w:hint="cs"/>
          <w:rtl/>
        </w:rPr>
        <w:t xml:space="preserve"> שאין לאדם זכות קנויה להקלה... אכן, 'הקלה' כשמה כן היא ואין שום חובה מוטלת על הוועדה לאפשר הקלה מהתכנית החלה גם אם הדבר נועד למיצוי אחוזי בניה... בענייננו ועדת הערר החליטה, לאחר שערכה סיור במקום, כי אין מקום להקלה מטעמים תכנוניים... אכן, הכוח והאחריות בעניין שכזה נתונים לגופי התכנון ובית המשפט לא ימהר להתערב בהחלטותיהם ולא יחליף את שיקול דעתם המקצועי בשיקול דעתו... ודוק: בית המשפט איננו מוסד תכנון על ובצדק לא התערב בית המשפט בהחלטה שלא ליתן הקלה המבוססת על טעמים תכנוניים" (שם, בפסקה 6, וראו גם, </w:t>
      </w:r>
      <w:hyperlink r:id="rId63" w:history="1">
        <w:r w:rsidR="006D5E3B" w:rsidRPr="0091755B">
          <w:rPr>
            <w:rStyle w:val="Hyperlink"/>
            <w:rtl/>
          </w:rPr>
          <w:t>ע"א 6291/95</w:t>
        </w:r>
        <w:r w:rsidRPr="0091755B">
          <w:rPr>
            <w:rStyle w:val="Hyperlink"/>
            <w:rFonts w:hint="cs"/>
            <w:rtl/>
          </w:rPr>
          <w:t xml:space="preserve"> </w:t>
        </w:r>
        <w:r w:rsidRPr="0091755B">
          <w:rPr>
            <w:rStyle w:val="Hyperlink"/>
            <w:rFonts w:ascii="Times New Roman" w:hAnsi="Times New Roman" w:cs="Miriam" w:hint="cs"/>
            <w:spacing w:val="0"/>
            <w:sz w:val="28"/>
            <w:szCs w:val="24"/>
            <w:rtl/>
          </w:rPr>
          <w:t>בן יקר חברה להנדסה ובניין בע"מ נ' הוועדה המיוחדת לתכנון ולבנייה מודיעין</w:t>
        </w:r>
        <w:r w:rsidRPr="0091755B">
          <w:rPr>
            <w:rStyle w:val="Hyperlink"/>
            <w:rFonts w:hint="cs"/>
            <w:rtl/>
          </w:rPr>
          <w:t>, פ"ד נא</w:t>
        </w:r>
      </w:hyperlink>
      <w:r>
        <w:rPr>
          <w:rFonts w:hint="cs"/>
          <w:rtl/>
        </w:rPr>
        <w:t xml:space="preserve">(2) 825 (1997); </w:t>
      </w:r>
      <w:hyperlink r:id="rId64" w:history="1">
        <w:r w:rsidR="006D5E3B" w:rsidRPr="006D5E3B">
          <w:rPr>
            <w:color w:val="0000FF"/>
            <w:u w:val="single"/>
            <w:rtl/>
          </w:rPr>
          <w:t>ע"א 5927/08 בחוס נ' הוועדה המקומית לתכנון ולבנייה חיפה, פ"ד נז</w:t>
        </w:r>
      </w:hyperlink>
      <w:r>
        <w:rPr>
          <w:rFonts w:hint="cs"/>
          <w:rtl/>
        </w:rPr>
        <w:t xml:space="preserve">(5) 752 (2003); </w:t>
      </w:r>
      <w:hyperlink r:id="rId65" w:history="1">
        <w:r w:rsidR="006D5E3B" w:rsidRPr="006D5E3B">
          <w:rPr>
            <w:color w:val="0000FF"/>
            <w:u w:val="single"/>
            <w:rtl/>
          </w:rPr>
          <w:t>עע"ם 4897/06</w:t>
        </w:r>
      </w:hyperlink>
      <w:r>
        <w:rPr>
          <w:rFonts w:hint="cs"/>
          <w:rtl/>
        </w:rPr>
        <w:t xml:space="preserve"> </w:t>
      </w:r>
      <w:r>
        <w:rPr>
          <w:rFonts w:ascii="Times New Roman" w:hAnsi="Times New Roman" w:cs="Miriam" w:hint="cs"/>
          <w:spacing w:val="0"/>
          <w:sz w:val="28"/>
          <w:szCs w:val="24"/>
          <w:rtl/>
        </w:rPr>
        <w:t>בוקובזה נ' עיריית ירושלים אגף הרישוי הועדה המקומית לתכנון ובנייה</w:t>
      </w:r>
      <w:r>
        <w:rPr>
          <w:rFonts w:hint="cs"/>
          <w:rtl/>
        </w:rPr>
        <w:t xml:space="preserve"> </w:t>
      </w:r>
      <w:r w:rsidR="0091755B" w:rsidRPr="0091755B">
        <w:rPr>
          <w:rFonts w:ascii="Times New Roman" w:hAnsi="Times New Roman" w:cs="David"/>
          <w:spacing w:val="0"/>
          <w:szCs w:val="24"/>
          <w:rtl/>
        </w:rPr>
        <w:t xml:space="preserve">[פורסם בנבו] </w:t>
      </w:r>
      <w:r>
        <w:rPr>
          <w:rFonts w:hint="cs"/>
          <w:rtl/>
        </w:rPr>
        <w:t>(16.1.2008)).</w:t>
      </w:r>
    </w:p>
    <w:p w:rsidR="0060249E" w:rsidRDefault="0060249E">
      <w:pPr>
        <w:pStyle w:val="Ruller40"/>
        <w:rPr>
          <w:rFonts w:hint="cs"/>
          <w:rtl/>
        </w:rPr>
      </w:pPr>
    </w:p>
    <w:p w:rsidR="0060249E" w:rsidRDefault="0060249E">
      <w:pPr>
        <w:pStyle w:val="Ruller40"/>
        <w:rPr>
          <w:rFonts w:hint="cs"/>
          <w:rtl/>
        </w:rPr>
      </w:pPr>
      <w:r>
        <w:rPr>
          <w:rFonts w:hint="cs"/>
          <w:rtl/>
        </w:rPr>
        <w:tab/>
        <w:t>ב</w:t>
      </w:r>
      <w:hyperlink r:id="rId66" w:history="1">
        <w:r w:rsidR="006D5E3B" w:rsidRPr="006D5E3B">
          <w:rPr>
            <w:color w:val="0000FF"/>
            <w:u w:val="single"/>
            <w:rtl/>
          </w:rPr>
          <w:t>ע"א 2413/06</w:t>
        </w:r>
      </w:hyperlink>
      <w:r>
        <w:rPr>
          <w:rFonts w:hint="cs"/>
          <w:rtl/>
        </w:rPr>
        <w:t xml:space="preserve"> </w:t>
      </w:r>
      <w:r>
        <w:rPr>
          <w:rFonts w:ascii="Times New Roman" w:hAnsi="Times New Roman" w:cs="Miriam" w:hint="cs"/>
          <w:spacing w:val="0"/>
          <w:sz w:val="28"/>
          <w:szCs w:val="24"/>
          <w:rtl/>
        </w:rPr>
        <w:t>מגדלי כספי רג'ואן ובניו בע"מ נ' מינהל מקרקעי ישראל</w:t>
      </w:r>
      <w:r>
        <w:rPr>
          <w:rFonts w:hint="cs"/>
          <w:rtl/>
        </w:rPr>
        <w:t xml:space="preserve"> </w:t>
      </w:r>
      <w:r w:rsidR="0091755B" w:rsidRPr="0091755B">
        <w:rPr>
          <w:rFonts w:ascii="Times New Roman" w:hAnsi="Times New Roman" w:cs="David"/>
          <w:spacing w:val="0"/>
          <w:szCs w:val="24"/>
          <w:rtl/>
        </w:rPr>
        <w:t xml:space="preserve">[פורסם בנבו] </w:t>
      </w:r>
      <w:r>
        <w:rPr>
          <w:rFonts w:hint="cs"/>
          <w:rtl/>
        </w:rPr>
        <w:t>(10.11.2009), נקבע כי בשוקלה, האם לאשר הקלה "</w:t>
      </w:r>
      <w:r>
        <w:rPr>
          <w:rFonts w:ascii="Times New Roman" w:hAnsi="Times New Roman" w:cs="Miriam" w:hint="cs"/>
          <w:spacing w:val="0"/>
          <w:sz w:val="28"/>
          <w:szCs w:val="24"/>
          <w:rtl/>
        </w:rPr>
        <w:t>נתון לועדה המקומית שיקול דעת רחב ביותר, במסגרתו רשאית היא להביא בחשבון שיקולים מסוגים שונים</w:t>
      </w:r>
      <w:r>
        <w:rPr>
          <w:rFonts w:hint="cs"/>
          <w:rtl/>
        </w:rPr>
        <w:t>" (שם, בפסקה כ"ח).</w:t>
      </w:r>
    </w:p>
    <w:p w:rsidR="0060249E" w:rsidRDefault="0060249E">
      <w:pPr>
        <w:pStyle w:val="Ruller40"/>
        <w:rPr>
          <w:rFonts w:hint="cs"/>
          <w:rtl/>
        </w:rPr>
      </w:pPr>
    </w:p>
    <w:p w:rsidR="0060249E" w:rsidRDefault="0060249E">
      <w:pPr>
        <w:pStyle w:val="Ruller40"/>
        <w:rPr>
          <w:rFonts w:ascii="Times New Roman" w:hAnsi="Times New Roman" w:cs="Miriam" w:hint="cs"/>
          <w:spacing w:val="0"/>
          <w:sz w:val="28"/>
          <w:szCs w:val="24"/>
          <w:rtl/>
        </w:rPr>
      </w:pPr>
      <w:r>
        <w:rPr>
          <w:rFonts w:ascii="Times New Roman" w:hAnsi="Times New Roman" w:cs="Miriam" w:hint="cs"/>
          <w:spacing w:val="0"/>
          <w:sz w:val="28"/>
          <w:szCs w:val="24"/>
          <w:rtl/>
        </w:rPr>
        <w:t>ומן הכלל אל הפרט</w:t>
      </w:r>
    </w:p>
    <w:p w:rsidR="0060249E" w:rsidRDefault="0060249E">
      <w:pPr>
        <w:pStyle w:val="Ruller40"/>
        <w:rPr>
          <w:rFonts w:hint="cs"/>
          <w:rtl/>
        </w:rPr>
      </w:pPr>
    </w:p>
    <w:p w:rsidR="0060249E" w:rsidRDefault="0060249E">
      <w:pPr>
        <w:pStyle w:val="Ruller40"/>
        <w:rPr>
          <w:rFonts w:hint="cs"/>
          <w:rtl/>
        </w:rPr>
      </w:pPr>
      <w:r>
        <w:rPr>
          <w:rFonts w:hint="cs"/>
          <w:rtl/>
        </w:rPr>
        <w:t>21.</w:t>
      </w:r>
      <w:r>
        <w:rPr>
          <w:rFonts w:hint="cs"/>
          <w:rtl/>
        </w:rPr>
        <w:tab/>
        <w:t xml:space="preserve">לאחר עיון מדוקדק בטיעוני הצדדים ובחומר הרב שהונח לפנינו, הגעתי למסקנה כי יש לדחות את הערעור, וכך אציע לחבריי לעשות. </w:t>
      </w:r>
    </w:p>
    <w:p w:rsidR="0060249E" w:rsidRDefault="0060249E">
      <w:pPr>
        <w:pStyle w:val="Ruller40"/>
        <w:rPr>
          <w:rFonts w:hint="cs"/>
          <w:rtl/>
        </w:rPr>
      </w:pPr>
    </w:p>
    <w:p w:rsidR="0060249E" w:rsidRDefault="0060249E" w:rsidP="0091755B">
      <w:pPr>
        <w:pStyle w:val="Ruller40"/>
        <w:rPr>
          <w:rFonts w:hint="cs"/>
          <w:rtl/>
        </w:rPr>
      </w:pPr>
      <w:r>
        <w:rPr>
          <w:rFonts w:hint="cs"/>
          <w:rtl/>
        </w:rPr>
        <w:tab/>
        <w:t>ראשית לכל, יש להידרש לטענת המערערים בדבר קיומה של "</w:t>
      </w:r>
      <w:r>
        <w:rPr>
          <w:rFonts w:ascii="Times New Roman" w:hAnsi="Times New Roman" w:cs="Miriam" w:hint="cs"/>
          <w:spacing w:val="0"/>
          <w:sz w:val="28"/>
          <w:szCs w:val="24"/>
          <w:rtl/>
        </w:rPr>
        <w:t>הבטחה שלטונית</w:t>
      </w:r>
      <w:r>
        <w:rPr>
          <w:rFonts w:hint="cs"/>
          <w:rtl/>
        </w:rPr>
        <w:t>", שכביכול ניתנה להם במסגרת הדיון בערעור הקודם (</w:t>
      </w:r>
      <w:hyperlink r:id="rId67" w:history="1">
        <w:r w:rsidR="006D5E3B" w:rsidRPr="006D5E3B">
          <w:rPr>
            <w:color w:val="0000FF"/>
            <w:u w:val="single"/>
            <w:rtl/>
          </w:rPr>
          <w:t>עע"ם 9168/05</w:t>
        </w:r>
      </w:hyperlink>
      <w:r>
        <w:rPr>
          <w:rFonts w:hint="cs"/>
          <w:rtl/>
        </w:rPr>
        <w:t>)</w:t>
      </w:r>
      <w:r w:rsidR="0091755B">
        <w:rPr>
          <w:rFonts w:hint="cs"/>
          <w:rtl/>
        </w:rPr>
        <w:t xml:space="preserve"> </w:t>
      </w:r>
      <w:r w:rsidR="0091755B" w:rsidRPr="0091755B">
        <w:rPr>
          <w:rFonts w:ascii="Times New Roman" w:hAnsi="Times New Roman" w:cs="David"/>
          <w:spacing w:val="0"/>
          <w:szCs w:val="24"/>
          <w:rtl/>
        </w:rPr>
        <w:t>[פורסם בנבו]</w:t>
      </w:r>
      <w:r>
        <w:rPr>
          <w:rFonts w:hint="cs"/>
          <w:rtl/>
        </w:rPr>
        <w:t>. עיינתי בפסק הדין שניתן בערעור זה וכן בפרוטוקול הדיון, ולא מצאתי עיגון משפטי למעין "</w:t>
      </w:r>
      <w:r>
        <w:rPr>
          <w:rFonts w:ascii="Times New Roman" w:hAnsi="Times New Roman" w:cs="Miriam" w:hint="cs"/>
          <w:spacing w:val="0"/>
          <w:sz w:val="28"/>
          <w:szCs w:val="24"/>
          <w:rtl/>
        </w:rPr>
        <w:t>הבטחה שלטונית</w:t>
      </w:r>
      <w:r>
        <w:rPr>
          <w:rFonts w:hint="cs"/>
          <w:rtl/>
        </w:rPr>
        <w:t xml:space="preserve">" שניתנה למערערים, לפיה תאושר בקשתם להקלה. במסגרת הערעור נדונה, בין היתר, טענת המערערים כי הבניה במקום נעשתה </w:t>
      </w:r>
      <w:r>
        <w:rPr>
          <w:rFonts w:hint="cs"/>
          <w:rtl/>
        </w:rPr>
        <w:lastRenderedPageBreak/>
        <w:t xml:space="preserve">בהתאם לתב"ע ולפיכך אין צורך בהקלה. בית המשפט, מפי השופט </w:t>
      </w:r>
      <w:r>
        <w:rPr>
          <w:rFonts w:ascii="Times New Roman" w:hAnsi="Times New Roman" w:cs="Miriam" w:hint="cs"/>
          <w:spacing w:val="0"/>
          <w:sz w:val="28"/>
          <w:szCs w:val="24"/>
          <w:rtl/>
        </w:rPr>
        <w:t>ע' פוגלמן</w:t>
      </w:r>
      <w:r>
        <w:rPr>
          <w:rFonts w:hint="cs"/>
          <w:rtl/>
        </w:rPr>
        <w:t xml:space="preserve">, שאליו הצטרפו הנשיאה </w:t>
      </w:r>
      <w:r>
        <w:rPr>
          <w:rFonts w:ascii="Times New Roman" w:hAnsi="Times New Roman" w:cs="Miriam" w:hint="cs"/>
          <w:spacing w:val="0"/>
          <w:sz w:val="28"/>
          <w:szCs w:val="24"/>
          <w:rtl/>
        </w:rPr>
        <w:t>ד' ביניש</w:t>
      </w:r>
      <w:r>
        <w:rPr>
          <w:rFonts w:hint="cs"/>
          <w:rtl/>
        </w:rPr>
        <w:t xml:space="preserve"> והשופט </w:t>
      </w:r>
      <w:r>
        <w:rPr>
          <w:rFonts w:ascii="Times New Roman" w:hAnsi="Times New Roman" w:cs="Miriam" w:hint="cs"/>
          <w:spacing w:val="0"/>
          <w:sz w:val="28"/>
          <w:szCs w:val="24"/>
          <w:rtl/>
        </w:rPr>
        <w:t>ס' ג'ובראן</w:t>
      </w:r>
      <w:r>
        <w:rPr>
          <w:rFonts w:hint="cs"/>
          <w:rtl/>
        </w:rPr>
        <w:t>, קבע מפורשות כי "</w:t>
      </w:r>
      <w:r>
        <w:rPr>
          <w:rFonts w:ascii="Times New Roman" w:hAnsi="Times New Roman" w:cs="Miriam" w:hint="cs"/>
          <w:spacing w:val="0"/>
          <w:sz w:val="28"/>
          <w:szCs w:val="24"/>
          <w:rtl/>
        </w:rPr>
        <w:t>משמבקשים המערערים לחרוג מהוראות התכנית המחייבות בניית גג רעפים, עליהם לנקוט בהליך של הקלה, כפי שמתחייב במקרה של סטייה מהוראות התכנית</w:t>
      </w:r>
      <w:r>
        <w:rPr>
          <w:rFonts w:hint="cs"/>
          <w:rtl/>
        </w:rPr>
        <w:t>" (שם, בפסקה 6).</w:t>
      </w:r>
    </w:p>
    <w:p w:rsidR="0060249E" w:rsidRDefault="0060249E">
      <w:pPr>
        <w:pStyle w:val="Ruller40"/>
        <w:rPr>
          <w:rFonts w:hint="cs"/>
          <w:rtl/>
        </w:rPr>
      </w:pPr>
    </w:p>
    <w:p w:rsidR="0060249E" w:rsidRDefault="0060249E">
      <w:pPr>
        <w:pStyle w:val="Ruller40"/>
        <w:rPr>
          <w:rFonts w:hint="cs"/>
          <w:rtl/>
        </w:rPr>
      </w:pPr>
      <w:r>
        <w:rPr>
          <w:rFonts w:hint="cs"/>
          <w:rtl/>
        </w:rPr>
        <w:tab/>
        <w:t>בהמשך, ציין בית המשפט כי הבקשה להקלה לא נדונה לגופה על-ידי הועדה המקומית "</w:t>
      </w:r>
      <w:r>
        <w:rPr>
          <w:rFonts w:ascii="Times New Roman" w:hAnsi="Times New Roman" w:cs="Miriam" w:hint="cs"/>
          <w:spacing w:val="0"/>
          <w:sz w:val="28"/>
          <w:szCs w:val="24"/>
          <w:rtl/>
        </w:rPr>
        <w:t>ואף אנו לא נדרשנו לכך</w:t>
      </w:r>
      <w:r>
        <w:rPr>
          <w:rFonts w:hint="cs"/>
          <w:rtl/>
        </w:rPr>
        <w:t>". בעקבות פסק דינו של בית המשפט לעניינים מנהליים, הבהיר בית משפט זה כי מקומה של הטענה, לפיה בחלקים אחרים של הפרוייקט אושרה בניית גג שטוח, "</w:t>
      </w:r>
      <w:r>
        <w:rPr>
          <w:rFonts w:ascii="Times New Roman" w:hAnsi="Times New Roman" w:cs="Miriam" w:hint="cs"/>
          <w:spacing w:val="0"/>
          <w:sz w:val="28"/>
          <w:szCs w:val="24"/>
          <w:rtl/>
        </w:rPr>
        <w:t>בשלב הדיון בבקשת ההקלה לגופה</w:t>
      </w:r>
      <w:r>
        <w:rPr>
          <w:rFonts w:hint="cs"/>
          <w:rtl/>
        </w:rPr>
        <w:t>". לבסוף, נקבע, בפסק הדין, "</w:t>
      </w:r>
      <w:r>
        <w:rPr>
          <w:rFonts w:ascii="Times New Roman" w:hAnsi="Times New Roman" w:cs="Miriam" w:hint="cs"/>
          <w:spacing w:val="0"/>
          <w:sz w:val="28"/>
          <w:szCs w:val="24"/>
          <w:rtl/>
        </w:rPr>
        <w:t>כי אין בדחיית הערעור בעניין זה משום חיווי דעה לגוף הבקשה להקלה</w:t>
      </w:r>
      <w:r>
        <w:rPr>
          <w:rFonts w:hint="cs"/>
          <w:rtl/>
        </w:rPr>
        <w:t>".</w:t>
      </w:r>
    </w:p>
    <w:p w:rsidR="0060249E" w:rsidRDefault="0060249E">
      <w:pPr>
        <w:pStyle w:val="Ruller40"/>
        <w:rPr>
          <w:rFonts w:hint="cs"/>
          <w:rtl/>
        </w:rPr>
      </w:pPr>
    </w:p>
    <w:p w:rsidR="0060249E" w:rsidRDefault="0060249E">
      <w:pPr>
        <w:pStyle w:val="Ruller40"/>
        <w:rPr>
          <w:rFonts w:hint="cs"/>
          <w:rtl/>
        </w:rPr>
      </w:pPr>
      <w:r>
        <w:rPr>
          <w:rFonts w:hint="cs"/>
          <w:rtl/>
        </w:rPr>
        <w:tab/>
        <w:t>למקרא דברים ברורים ומפורשים אלה, אני מתקשה לרדת לסוף דעתם של המערערים, הטוענים בתוקף כי הובטח להם על-ידי בית משפט זה, כי בקשתם להקלה תענה בחיוב.</w:t>
      </w:r>
    </w:p>
    <w:p w:rsidR="0060249E" w:rsidRDefault="0060249E">
      <w:pPr>
        <w:pStyle w:val="Ruller40"/>
        <w:rPr>
          <w:rFonts w:hint="cs"/>
          <w:rtl/>
        </w:rPr>
      </w:pPr>
    </w:p>
    <w:p w:rsidR="0060249E" w:rsidRDefault="0060249E">
      <w:pPr>
        <w:pStyle w:val="Ruller40"/>
        <w:rPr>
          <w:rFonts w:hint="cs"/>
          <w:rtl/>
        </w:rPr>
      </w:pPr>
      <w:r>
        <w:rPr>
          <w:rFonts w:hint="cs"/>
          <w:rtl/>
        </w:rPr>
        <w:tab/>
        <w:t>לאור האמור, יש לדחות טענה בלתי מבוססת זו.</w:t>
      </w:r>
    </w:p>
    <w:p w:rsidR="0060249E" w:rsidRDefault="0060249E">
      <w:pPr>
        <w:pStyle w:val="Ruller40"/>
        <w:rPr>
          <w:rFonts w:hint="cs"/>
          <w:rtl/>
        </w:rPr>
      </w:pPr>
    </w:p>
    <w:p w:rsidR="0060249E" w:rsidRDefault="0060249E">
      <w:pPr>
        <w:pStyle w:val="Ruller40"/>
        <w:rPr>
          <w:rFonts w:hint="cs"/>
          <w:rtl/>
        </w:rPr>
      </w:pPr>
      <w:r>
        <w:rPr>
          <w:rFonts w:hint="cs"/>
          <w:rtl/>
        </w:rPr>
        <w:t>22.</w:t>
      </w:r>
      <w:r>
        <w:rPr>
          <w:rFonts w:hint="cs"/>
          <w:rtl/>
        </w:rPr>
        <w:tab/>
        <w:t>טענתם הנוספת של המערערים נוגעת לסעיפים 12(ב) ו-12(ד) לתכנית 2327, ולגישתם האמור בסעיפים  אלה מייתר את הצורך להגיש בקשה להקלה. עיינתי בשני הסעיפים ולא מצאתי כל בסיס לטענה כי יש בכך כדי לפטור את המערערים מלהקים גג רעפים מעל לדירתם. כך גם נקבע בערעור הקודם, ב</w:t>
      </w:r>
      <w:hyperlink r:id="rId68" w:history="1">
        <w:r w:rsidR="006D5E3B" w:rsidRPr="006D5E3B">
          <w:rPr>
            <w:color w:val="0000FF"/>
            <w:u w:val="single"/>
            <w:rtl/>
          </w:rPr>
          <w:t>עע"ם 9168/05</w:t>
        </w:r>
      </w:hyperlink>
      <w:r>
        <w:rPr>
          <w:rFonts w:hint="cs"/>
          <w:rtl/>
        </w:rPr>
        <w:t xml:space="preserve"> "</w:t>
      </w:r>
      <w:r>
        <w:rPr>
          <w:rFonts w:ascii="Times New Roman" w:hAnsi="Times New Roman" w:cs="Miriam" w:hint="cs"/>
          <w:spacing w:val="0"/>
          <w:sz w:val="28"/>
          <w:szCs w:val="24"/>
          <w:rtl/>
        </w:rPr>
        <w:t>מקובלת עלינו גם מסקנתו של בית המשפט, לפיה בהוראת סעיף 12(ב) לתכנית 2327, אליה הפנו המערערים, אין כדי לפטור אותם מן החובה לקיים הליך של הקלה</w:t>
      </w:r>
      <w:r>
        <w:rPr>
          <w:rFonts w:hint="cs"/>
          <w:rtl/>
        </w:rPr>
        <w:t xml:space="preserve">" </w:t>
      </w:r>
      <w:r w:rsidR="0091755B" w:rsidRPr="0091755B">
        <w:rPr>
          <w:rFonts w:ascii="Times New Roman" w:hAnsi="Times New Roman" w:cs="David"/>
          <w:spacing w:val="0"/>
          <w:szCs w:val="24"/>
          <w:rtl/>
        </w:rPr>
        <w:t xml:space="preserve">[פורסם בנבו] </w:t>
      </w:r>
      <w:r>
        <w:rPr>
          <w:rFonts w:hint="cs"/>
          <w:rtl/>
        </w:rPr>
        <w:t>(שם, בפסקה 6).</w:t>
      </w:r>
    </w:p>
    <w:p w:rsidR="0060249E" w:rsidRDefault="0060249E">
      <w:pPr>
        <w:pStyle w:val="Ruller40"/>
        <w:rPr>
          <w:rFonts w:hint="cs"/>
          <w:rtl/>
        </w:rPr>
      </w:pPr>
    </w:p>
    <w:p w:rsidR="0060249E" w:rsidRDefault="0060249E">
      <w:pPr>
        <w:pStyle w:val="Ruller40"/>
        <w:rPr>
          <w:rFonts w:hint="cs"/>
          <w:rtl/>
        </w:rPr>
      </w:pPr>
      <w:r>
        <w:rPr>
          <w:rFonts w:hint="cs"/>
          <w:rtl/>
        </w:rPr>
        <w:tab/>
        <w:t>לעניין סעיף 12(ד) נאמר בפסק הדין, כי "</w:t>
      </w:r>
      <w:r>
        <w:rPr>
          <w:rFonts w:ascii="Times New Roman" w:hAnsi="Times New Roman" w:cs="Miriam" w:hint="cs"/>
          <w:spacing w:val="0"/>
          <w:sz w:val="28"/>
          <w:szCs w:val="24"/>
          <w:rtl/>
        </w:rPr>
        <w:t>מקובלת עלינו הפרשנות בה נקטה הועדה המקומית, לפיה הוראת סעיף 12(ד) לתקנון התכנית מתייחסת להרחבות שבוצעו קודם לכניסת התכנית לתוקף ולא לאחריה</w:t>
      </w:r>
      <w:r>
        <w:rPr>
          <w:rFonts w:hint="cs"/>
          <w:rtl/>
        </w:rPr>
        <w:t>" (שם, בפסקה 7).</w:t>
      </w:r>
    </w:p>
    <w:p w:rsidR="0060249E" w:rsidRDefault="0060249E">
      <w:pPr>
        <w:pStyle w:val="Ruller40"/>
        <w:rPr>
          <w:rFonts w:hint="cs"/>
          <w:rtl/>
        </w:rPr>
      </w:pPr>
    </w:p>
    <w:p w:rsidR="0060249E" w:rsidRDefault="0060249E">
      <w:pPr>
        <w:pStyle w:val="Ruller40"/>
        <w:rPr>
          <w:rFonts w:hint="cs"/>
          <w:rtl/>
        </w:rPr>
      </w:pPr>
      <w:r>
        <w:rPr>
          <w:rFonts w:hint="cs"/>
          <w:rtl/>
        </w:rPr>
        <w:tab/>
        <w:t>דומה, כי אין צורך להוסיף דבר על שנאמר בנושא זה במסגרת הערעור הקודם, ודינה של הטענה להדחות.</w:t>
      </w:r>
    </w:p>
    <w:p w:rsidR="0060249E" w:rsidRDefault="0060249E">
      <w:pPr>
        <w:pStyle w:val="Ruller40"/>
        <w:rPr>
          <w:rFonts w:hint="cs"/>
          <w:rtl/>
        </w:rPr>
      </w:pPr>
    </w:p>
    <w:p w:rsidR="0060249E" w:rsidRDefault="0060249E">
      <w:pPr>
        <w:pStyle w:val="Ruller40"/>
        <w:rPr>
          <w:rFonts w:hint="cs"/>
          <w:rtl/>
        </w:rPr>
      </w:pPr>
      <w:r>
        <w:rPr>
          <w:rFonts w:hint="cs"/>
          <w:rtl/>
        </w:rPr>
        <w:t>23.</w:t>
      </w:r>
      <w:r>
        <w:rPr>
          <w:rFonts w:hint="cs"/>
          <w:rtl/>
        </w:rPr>
        <w:tab/>
        <w:t xml:space="preserve">ומכאן לטענות המערערים בנוגע לדחיית בקשתם להקלה על-ידי ועדת הערר. כזכור, קבעה ועדת הערר כי יש בהקלה המבוקשת משום סטייה ניכרת מהוראת התכנית </w:t>
      </w:r>
      <w:r>
        <w:rPr>
          <w:rFonts w:hint="cs"/>
          <w:rtl/>
        </w:rPr>
        <w:lastRenderedPageBreak/>
        <w:t>החלה, שכן מדובר ב"</w:t>
      </w:r>
      <w:r>
        <w:rPr>
          <w:rFonts w:ascii="Times New Roman" w:hAnsi="Times New Roman" w:cs="Miriam" w:hint="cs"/>
          <w:spacing w:val="0"/>
          <w:sz w:val="28"/>
          <w:szCs w:val="24"/>
          <w:rtl/>
        </w:rPr>
        <w:t>בניה שלא בהתאם לדרישות בינוי או עיצוב המפורטות בתכנית, שנועדו לקבוע את אופייה של הבניה בתחום התכנית או לשמור על אופי וחזות הסביבה</w:t>
      </w:r>
      <w:r>
        <w:rPr>
          <w:rFonts w:hint="cs"/>
          <w:rtl/>
        </w:rPr>
        <w:t>" (</w:t>
      </w:r>
      <w:hyperlink r:id="rId69" w:history="1">
        <w:r w:rsidR="00FE30BD" w:rsidRPr="00FE30BD">
          <w:rPr>
            <w:rStyle w:val="Hyperlink"/>
            <w:rFonts w:hint="eastAsia"/>
            <w:rtl/>
          </w:rPr>
          <w:t>סעיף</w:t>
        </w:r>
        <w:r w:rsidR="00FE30BD" w:rsidRPr="00FE30BD">
          <w:rPr>
            <w:rStyle w:val="Hyperlink"/>
            <w:rtl/>
          </w:rPr>
          <w:t xml:space="preserve"> 2(10)</w:t>
        </w:r>
      </w:hyperlink>
      <w:r>
        <w:rPr>
          <w:rFonts w:hint="cs"/>
          <w:rtl/>
        </w:rPr>
        <w:t xml:space="preserve"> לתקנות).</w:t>
      </w:r>
    </w:p>
    <w:p w:rsidR="0060249E" w:rsidRDefault="0060249E">
      <w:pPr>
        <w:pStyle w:val="Ruller40"/>
        <w:rPr>
          <w:rFonts w:hint="cs"/>
          <w:rtl/>
        </w:rPr>
      </w:pPr>
    </w:p>
    <w:p w:rsidR="0060249E" w:rsidRDefault="0060249E">
      <w:pPr>
        <w:pStyle w:val="Ruller40"/>
        <w:rPr>
          <w:rFonts w:hint="cs"/>
          <w:rtl/>
        </w:rPr>
      </w:pPr>
      <w:r>
        <w:rPr>
          <w:rFonts w:hint="cs"/>
          <w:rtl/>
        </w:rPr>
        <w:tab/>
        <w:t>לגישת ועדת הערר, הדרישה, לפיה כל הגגות בקומה העליונה יהיו גגות רעפים, נועדה "</w:t>
      </w:r>
      <w:r>
        <w:rPr>
          <w:rFonts w:ascii="Times New Roman" w:hAnsi="Times New Roman" w:cs="Miriam" w:hint="cs"/>
          <w:spacing w:val="0"/>
          <w:sz w:val="28"/>
          <w:szCs w:val="24"/>
          <w:rtl/>
        </w:rPr>
        <w:t>במובהק</w:t>
      </w:r>
      <w:r>
        <w:rPr>
          <w:rFonts w:hint="cs"/>
          <w:rtl/>
        </w:rPr>
        <w:t>" לשמור על אופי וחזות הסביבה. למסקנה זו הגיעה הועדה לאחר בחינת הוראות התכנית והתרשמות בלתי אמצעית לאחר ביקור שנערך במקום. הועדה מצאה, כי הדרישה לגגות רעפים, בסוג זה של המבנים, נועדה לשמור "</w:t>
      </w:r>
      <w:r>
        <w:rPr>
          <w:rFonts w:ascii="Times New Roman" w:hAnsi="Times New Roman" w:cs="Miriam" w:hint="cs"/>
          <w:spacing w:val="0"/>
          <w:sz w:val="28"/>
          <w:szCs w:val="24"/>
          <w:rtl/>
        </w:rPr>
        <w:t>על ייחוד ארכיטקטוני הראוי לשימור</w:t>
      </w:r>
      <w:r>
        <w:rPr>
          <w:rFonts w:hint="cs"/>
          <w:rtl/>
        </w:rPr>
        <w:t>", בעוד שהגג השטוח שנבנה על-ידי המערערים "</w:t>
      </w:r>
      <w:r>
        <w:rPr>
          <w:rFonts w:ascii="Times New Roman" w:hAnsi="Times New Roman" w:cs="Miriam" w:hint="cs"/>
          <w:spacing w:val="0"/>
          <w:sz w:val="28"/>
          <w:szCs w:val="24"/>
          <w:rtl/>
        </w:rPr>
        <w:t>חריג מבחינה ארכיטקטונית לסביבה, ופוגע באופן מהותי באחידות הארכיטקטונית אותה ביקשה התכנית לשמר</w:t>
      </w:r>
      <w:r>
        <w:rPr>
          <w:rFonts w:hint="cs"/>
          <w:rtl/>
        </w:rPr>
        <w:t>".</w:t>
      </w:r>
    </w:p>
    <w:p w:rsidR="0060249E" w:rsidRDefault="0060249E">
      <w:pPr>
        <w:pStyle w:val="Ruller40"/>
        <w:rPr>
          <w:rFonts w:hint="cs"/>
          <w:rtl/>
        </w:rPr>
      </w:pPr>
    </w:p>
    <w:p w:rsidR="0060249E" w:rsidRDefault="0060249E">
      <w:pPr>
        <w:pStyle w:val="Ruller40"/>
        <w:rPr>
          <w:rFonts w:hint="cs"/>
          <w:rtl/>
        </w:rPr>
      </w:pPr>
      <w:r>
        <w:rPr>
          <w:rFonts w:hint="cs"/>
          <w:rtl/>
        </w:rPr>
        <w:tab/>
        <w:t>בעקבות ועדת הערר, קבע גם בית משפט קמא כי "</w:t>
      </w:r>
      <w:r>
        <w:rPr>
          <w:rFonts w:ascii="Times New Roman" w:hAnsi="Times New Roman" w:cs="Miriam" w:hint="cs"/>
          <w:spacing w:val="0"/>
          <w:sz w:val="28"/>
          <w:szCs w:val="24"/>
          <w:rtl/>
        </w:rPr>
        <w:t>אישור הקלה מהוראה זו היא בבחינת סטייה ניכרת מתכנית</w:t>
      </w:r>
      <w:r>
        <w:rPr>
          <w:rFonts w:hint="cs"/>
          <w:rtl/>
        </w:rPr>
        <w:t>", ולפיכך החליט שלא להתערב במסקנה זו של הועדה.</w:t>
      </w:r>
    </w:p>
    <w:p w:rsidR="0060249E" w:rsidRDefault="0060249E">
      <w:pPr>
        <w:pStyle w:val="Ruller40"/>
        <w:rPr>
          <w:rFonts w:hint="cs"/>
          <w:rtl/>
        </w:rPr>
      </w:pPr>
    </w:p>
    <w:p w:rsidR="0060249E" w:rsidRDefault="0060249E">
      <w:pPr>
        <w:pStyle w:val="Ruller40"/>
        <w:rPr>
          <w:rFonts w:hint="cs"/>
          <w:rtl/>
        </w:rPr>
      </w:pPr>
      <w:r>
        <w:rPr>
          <w:rFonts w:hint="cs"/>
          <w:rtl/>
        </w:rPr>
        <w:tab/>
        <w:t>סבורני, כי לא הונח כל בסיס להתערבותנו בקביעתה של ועדת הערר, לעניין זה, ובפסק דינו של בית משפט קמא, מאחר שמדובר בהחלטה המצויה במתחם הסבירות, והמערערים לא השכילו להצביע על עילה כלשהי, המצדיקה את פסילת שיקול דעתה של ועדת הערר.</w:t>
      </w:r>
    </w:p>
    <w:p w:rsidR="0060249E" w:rsidRDefault="0060249E">
      <w:pPr>
        <w:pStyle w:val="Ruller40"/>
        <w:rPr>
          <w:rFonts w:hint="cs"/>
          <w:rtl/>
        </w:rPr>
      </w:pPr>
    </w:p>
    <w:p w:rsidR="0060249E" w:rsidRDefault="0060249E">
      <w:pPr>
        <w:pStyle w:val="Ruller40"/>
        <w:rPr>
          <w:rFonts w:hint="cs"/>
          <w:rtl/>
        </w:rPr>
      </w:pPr>
      <w:r>
        <w:rPr>
          <w:rFonts w:hint="cs"/>
          <w:rtl/>
        </w:rPr>
        <w:t>24.</w:t>
      </w:r>
      <w:r>
        <w:rPr>
          <w:rFonts w:hint="cs"/>
          <w:rtl/>
        </w:rPr>
        <w:tab/>
        <w:t>ועדת הערר דנה, בבחינת למעלה מן הצורך, בשאלה האם יש מקום להעניק למערערים הקלה, בהנחה שאין מדובר בסטייה ניכרת מהוראות התכנית. הועדה מצאה כי אין כל "</w:t>
      </w:r>
      <w:r>
        <w:rPr>
          <w:rFonts w:ascii="Times New Roman" w:hAnsi="Times New Roman" w:cs="Miriam" w:hint="cs"/>
          <w:spacing w:val="0"/>
          <w:sz w:val="28"/>
          <w:szCs w:val="24"/>
          <w:rtl/>
        </w:rPr>
        <w:t>סיבה תכנונית המצדיקה סטייה מהוראות התכנית לעניין צורת הגגות מעל להרחבות בדרך של אישור הקלה</w:t>
      </w:r>
      <w:r>
        <w:rPr>
          <w:rFonts w:hint="cs"/>
          <w:rtl/>
        </w:rPr>
        <w:t>". הועדה קבעה עוד, לאחר ביקור במקום, כי "</w:t>
      </w:r>
      <w:r>
        <w:rPr>
          <w:rFonts w:ascii="Times New Roman" w:hAnsi="Times New Roman" w:cs="Miriam" w:hint="cs"/>
          <w:spacing w:val="0"/>
          <w:sz w:val="28"/>
          <w:szCs w:val="24"/>
          <w:rtl/>
        </w:rPr>
        <w:t>הגג הנדון חשוף כולו להולכים ברחוב, כך שהדומיננטיות של אי האחידות התכנונית שהגג השטוח המבוקש יוצר, גדול בהרבה מזה של הגג שנבנה בסטייה מההיתר בצד השני של הבניין</w:t>
      </w:r>
      <w:r>
        <w:rPr>
          <w:rFonts w:hint="cs"/>
          <w:rtl/>
        </w:rPr>
        <w:t>".</w:t>
      </w:r>
    </w:p>
    <w:p w:rsidR="0060249E" w:rsidRDefault="0060249E">
      <w:pPr>
        <w:pStyle w:val="Ruller40"/>
        <w:rPr>
          <w:rFonts w:hint="cs"/>
          <w:rtl/>
        </w:rPr>
      </w:pPr>
    </w:p>
    <w:p w:rsidR="0060249E" w:rsidRDefault="0060249E">
      <w:pPr>
        <w:pStyle w:val="Ruller40"/>
        <w:rPr>
          <w:rFonts w:hint="cs"/>
          <w:rtl/>
        </w:rPr>
      </w:pPr>
      <w:r>
        <w:rPr>
          <w:rFonts w:hint="cs"/>
          <w:rtl/>
        </w:rPr>
        <w:tab/>
        <w:t>לפיכך, נקבע כי אין מקום לאשר את ההקלה "</w:t>
      </w:r>
      <w:r>
        <w:rPr>
          <w:rFonts w:ascii="Times New Roman" w:hAnsi="Times New Roman" w:cs="Miriam" w:hint="cs"/>
          <w:spacing w:val="0"/>
          <w:sz w:val="28"/>
          <w:szCs w:val="24"/>
          <w:rtl/>
        </w:rPr>
        <w:t>בהעדר כל נימוק תכנוני לאפשר במקרה הנדון סטייה מהוראות תכנית 2327</w:t>
      </w:r>
      <w:r>
        <w:rPr>
          <w:rFonts w:hint="cs"/>
          <w:rtl/>
        </w:rPr>
        <w:t>". בית משפט קמא סמך את ידו על נימוקי ועדת הערר, בציינו כי חברי ועדה זו ביקרו במקום, בניגוד לחברי הועדה המקומית, ולא מצא כל בסיס להתערבות בהחלטה.</w:t>
      </w:r>
    </w:p>
    <w:p w:rsidR="0060249E" w:rsidRDefault="0060249E">
      <w:pPr>
        <w:pStyle w:val="Ruller40"/>
        <w:rPr>
          <w:rFonts w:hint="cs"/>
          <w:rtl/>
        </w:rPr>
      </w:pPr>
    </w:p>
    <w:p w:rsidR="0060249E" w:rsidRDefault="0060249E">
      <w:pPr>
        <w:pStyle w:val="Ruller40"/>
        <w:rPr>
          <w:rFonts w:hint="cs"/>
          <w:rtl/>
        </w:rPr>
      </w:pPr>
      <w:r>
        <w:rPr>
          <w:rFonts w:hint="cs"/>
          <w:rtl/>
        </w:rPr>
        <w:lastRenderedPageBreak/>
        <w:tab/>
        <w:t>לדעתי, לא הונח על-ידי המערערים בסיס עובדתי או משפטי, המצדיק התערבות בקביעת ועדת הערר, בהקשר זה, ובפסק דינו של בית משפט קמא.</w:t>
      </w:r>
    </w:p>
    <w:p w:rsidR="0060249E" w:rsidRDefault="0060249E">
      <w:pPr>
        <w:pStyle w:val="Ruller40"/>
        <w:rPr>
          <w:rFonts w:hint="cs"/>
          <w:rtl/>
        </w:rPr>
      </w:pPr>
    </w:p>
    <w:p w:rsidR="0060249E" w:rsidRDefault="0060249E">
      <w:pPr>
        <w:pStyle w:val="Ruller40"/>
        <w:rPr>
          <w:rFonts w:hint="cs"/>
          <w:rtl/>
        </w:rPr>
      </w:pPr>
      <w:r>
        <w:rPr>
          <w:rFonts w:hint="cs"/>
          <w:rtl/>
        </w:rPr>
        <w:t>25.</w:t>
      </w:r>
      <w:r>
        <w:rPr>
          <w:rFonts w:hint="cs"/>
          <w:rtl/>
        </w:rPr>
        <w:tab/>
        <w:t>טענה נוספת שעלתה בפני ועדת הערר הינה טענת האפליה, לפיה אושרו ברחוב אשרמן וברחובות הסמוכים גגות שטוחים בבניינים מאותו הסוג של בניין המערערים. ועדת הערר בחנה את הרשימה שהוגשה על-ידי המערערים, ככל שהיא מתייחסת לרחוב אשרמן, וסירבה, בצדק, לקבל רשימה הנוגעת לרחובות הסמוכים. לטעמי, אין ממש בטענת המערערים כי היה על הועדה לבחון את המצב באזור כולו, שכן הבחינה אמורה להתמקד ברחוב בו מצוי הבניין, שבו מתגוררים המערערים.</w:t>
      </w:r>
    </w:p>
    <w:p w:rsidR="0060249E" w:rsidRDefault="0060249E">
      <w:pPr>
        <w:pStyle w:val="Ruller40"/>
        <w:rPr>
          <w:rFonts w:hint="cs"/>
          <w:rtl/>
        </w:rPr>
      </w:pPr>
    </w:p>
    <w:p w:rsidR="0060249E" w:rsidRDefault="0060249E">
      <w:pPr>
        <w:pStyle w:val="Ruller40"/>
        <w:rPr>
          <w:rFonts w:hint="cs"/>
          <w:rtl/>
        </w:rPr>
      </w:pPr>
      <w:r>
        <w:rPr>
          <w:rFonts w:hint="cs"/>
          <w:rtl/>
        </w:rPr>
        <w:tab/>
        <w:t>לאחר בחינה יסודית של הרשימה, מצאה הועדה כי רק בשני מקרים ניתן היתר לבניית גג שטוח בניגוד לתכנית, ולגישת הועדה מדובר בהיתר בלתי חוקי.</w:t>
      </w:r>
    </w:p>
    <w:p w:rsidR="0060249E" w:rsidRDefault="0060249E">
      <w:pPr>
        <w:pStyle w:val="Ruller40"/>
        <w:rPr>
          <w:rFonts w:hint="cs"/>
          <w:rtl/>
        </w:rPr>
      </w:pPr>
    </w:p>
    <w:p w:rsidR="0060249E" w:rsidRDefault="0060249E">
      <w:pPr>
        <w:pStyle w:val="Ruller40"/>
        <w:rPr>
          <w:rFonts w:hint="cs"/>
          <w:rtl/>
        </w:rPr>
      </w:pPr>
      <w:r>
        <w:rPr>
          <w:rFonts w:hint="cs"/>
          <w:rtl/>
        </w:rPr>
        <w:tab/>
        <w:t>השאלה המתבקשת היא, האם יש בסיס לטענת האפליה של המערערים, באופן המחייב הענות לבקשת ההקלה שהגישו?</w:t>
      </w:r>
    </w:p>
    <w:p w:rsidR="0060249E" w:rsidRDefault="0060249E">
      <w:pPr>
        <w:pStyle w:val="Ruller40"/>
        <w:rPr>
          <w:rFonts w:hint="cs"/>
          <w:rtl/>
        </w:rPr>
      </w:pPr>
    </w:p>
    <w:p w:rsidR="0060249E" w:rsidRDefault="0060249E">
      <w:pPr>
        <w:pStyle w:val="Ruller40"/>
        <w:rPr>
          <w:rFonts w:hint="cs"/>
          <w:rtl/>
        </w:rPr>
      </w:pPr>
      <w:r>
        <w:rPr>
          <w:rFonts w:hint="cs"/>
          <w:rtl/>
        </w:rPr>
        <w:tab/>
        <w:t>ועדת הערר קבעה, כי גם אם טעתה הועדה המקומית באשרה, בשני מקרים, היתרי בניה הנוגדים את התכנית "</w:t>
      </w:r>
      <w:r>
        <w:rPr>
          <w:rFonts w:ascii="Times New Roman" w:hAnsi="Times New Roman" w:cs="Miriam" w:hint="cs"/>
          <w:spacing w:val="0"/>
          <w:sz w:val="28"/>
          <w:szCs w:val="24"/>
          <w:rtl/>
        </w:rPr>
        <w:t>הרי שלא ניתן לדרוש כי יינתן גם היום היתר לא חוקי שכזה על בסיס טענת אפליה</w:t>
      </w:r>
      <w:r>
        <w:rPr>
          <w:rFonts w:hint="cs"/>
          <w:rtl/>
        </w:rPr>
        <w:t>". בית משפט קמא אימץ את קביעתה זו של ועדת הערר וקבע כי גם אם טעתה הועדה המקומית בעבר, לא ניתן לדרוש כי יינתן, גם היום, היתר לא חוקי שכזה "</w:t>
      </w:r>
      <w:r>
        <w:rPr>
          <w:rFonts w:ascii="Times New Roman" w:hAnsi="Times New Roman" w:cs="Miriam" w:hint="cs"/>
          <w:spacing w:val="0"/>
          <w:sz w:val="28"/>
          <w:szCs w:val="24"/>
          <w:rtl/>
        </w:rPr>
        <w:t>על בסיס טענת אפליה</w:t>
      </w:r>
      <w:r>
        <w:rPr>
          <w:rFonts w:hint="cs"/>
          <w:rtl/>
        </w:rPr>
        <w:t>".</w:t>
      </w:r>
    </w:p>
    <w:p w:rsidR="0060249E" w:rsidRDefault="0060249E">
      <w:pPr>
        <w:pStyle w:val="Ruller40"/>
        <w:rPr>
          <w:rFonts w:hint="cs"/>
          <w:rtl/>
        </w:rPr>
      </w:pPr>
    </w:p>
    <w:p w:rsidR="0060249E" w:rsidRDefault="0060249E">
      <w:pPr>
        <w:pStyle w:val="Ruller40"/>
        <w:rPr>
          <w:rFonts w:hint="cs"/>
          <w:rtl/>
        </w:rPr>
      </w:pPr>
      <w:r>
        <w:rPr>
          <w:rFonts w:hint="cs"/>
          <w:rtl/>
        </w:rPr>
        <w:tab/>
        <w:t>סבורני, כי אין בסיס להתערבות במסקנה זו של ועדת הערר, עליה סמך בית משפט קמא את ידו. אין להנציח הפרת חוק, גם אם הונפקו היתרים בשני מקרים אחרים, כאשר לגישת הועדה מדובר בהיתרים בלתי חוקיים.</w:t>
      </w:r>
    </w:p>
    <w:p w:rsidR="0060249E" w:rsidRDefault="0060249E">
      <w:pPr>
        <w:pStyle w:val="Ruller40"/>
        <w:rPr>
          <w:rFonts w:hint="cs"/>
          <w:rtl/>
        </w:rPr>
      </w:pPr>
    </w:p>
    <w:p w:rsidR="0060249E" w:rsidRDefault="0060249E">
      <w:pPr>
        <w:pStyle w:val="Ruller40"/>
        <w:rPr>
          <w:rFonts w:hint="cs"/>
          <w:rtl/>
        </w:rPr>
      </w:pPr>
      <w:r>
        <w:rPr>
          <w:rFonts w:hint="cs"/>
          <w:rtl/>
        </w:rPr>
        <w:tab/>
        <w:t>וכפי שהובהר ב</w:t>
      </w:r>
      <w:hyperlink r:id="rId70" w:history="1">
        <w:r w:rsidR="006D5E3B" w:rsidRPr="006D5E3B">
          <w:rPr>
            <w:color w:val="0000FF"/>
            <w:u w:val="single"/>
            <w:rtl/>
          </w:rPr>
          <w:t>בג"צ 637/89 "חוקה למדינת ישראל" נ' שר האוצר, פ"ד מו</w:t>
        </w:r>
      </w:hyperlink>
      <w:r>
        <w:rPr>
          <w:rFonts w:hint="cs"/>
          <w:rtl/>
        </w:rPr>
        <w:t>(1) 191 (1991):</w:t>
      </w:r>
    </w:p>
    <w:p w:rsidR="0060249E" w:rsidRDefault="0060249E">
      <w:pPr>
        <w:pStyle w:val="Ruller40"/>
        <w:rPr>
          <w:rFonts w:hint="cs"/>
          <w:rtl/>
        </w:rPr>
      </w:pPr>
    </w:p>
    <w:p w:rsidR="0060249E" w:rsidRDefault="0060249E">
      <w:pPr>
        <w:pStyle w:val="Ruller5"/>
        <w:rPr>
          <w:rFonts w:hint="cs"/>
          <w:rtl/>
        </w:rPr>
      </w:pPr>
      <w:r>
        <w:rPr>
          <w:rFonts w:hint="cs"/>
          <w:rtl/>
        </w:rPr>
        <w:t xml:space="preserve">"במצב הדברים השני אין לפלוני ולאחרים זכות המוגנת בדין. אין גם לרשות הציבורית שיקול דעת מינהלי להעניק אותה זכות. חרף זאת, מעניקה הרשות אותה טובת הנאה לאחרים ואינה מעניקה אותה לפלוני. בכך היא מפלה את פלוני ביחס לאחרים.  ההחלטה המפלה, </w:t>
      </w:r>
      <w:r>
        <w:rPr>
          <w:rFonts w:hint="cs"/>
          <w:rtl/>
        </w:rPr>
        <w:lastRenderedPageBreak/>
        <w:t>בשל אופייה זה, בטלה היא ומבוטלת. עם זאת, אין בכוח ביטולה של ההפליה כדי להעניק לפלוני זכות שהדין אינו מאפשר להעניק לו. בית המשפט לא יצווה על הרשות המינהלית לעשות מעשה - להעניק לפלוני זכות - אשר עומד בניגוד לחוק" (שם, בעמ' 203-202).</w:t>
      </w:r>
    </w:p>
    <w:p w:rsidR="0060249E" w:rsidRDefault="0060249E">
      <w:pPr>
        <w:pStyle w:val="Ruller40"/>
        <w:rPr>
          <w:rFonts w:hint="cs"/>
          <w:rtl/>
        </w:rPr>
      </w:pPr>
    </w:p>
    <w:p w:rsidR="0060249E" w:rsidRDefault="0060249E">
      <w:pPr>
        <w:pStyle w:val="Ruller40"/>
        <w:rPr>
          <w:rFonts w:hint="cs"/>
          <w:rtl/>
        </w:rPr>
      </w:pPr>
      <w:r>
        <w:rPr>
          <w:rFonts w:hint="cs"/>
          <w:rtl/>
        </w:rPr>
        <w:tab/>
        <w:t>הדוגמא הניתנת בפסק דין זה, מתאימה עד מאד לענייננו:</w:t>
      </w:r>
    </w:p>
    <w:p w:rsidR="0060249E" w:rsidRDefault="0060249E">
      <w:pPr>
        <w:pStyle w:val="Ruller40"/>
        <w:rPr>
          <w:rFonts w:hint="cs"/>
          <w:rtl/>
        </w:rPr>
      </w:pPr>
    </w:p>
    <w:p w:rsidR="0060249E" w:rsidRDefault="0060249E">
      <w:pPr>
        <w:pStyle w:val="Ruller5"/>
        <w:rPr>
          <w:rFonts w:hint="cs"/>
          <w:rtl/>
        </w:rPr>
      </w:pPr>
      <w:r>
        <w:rPr>
          <w:rFonts w:hint="cs"/>
          <w:rtl/>
        </w:rPr>
        <w:t xml:space="preserve">"טול רשות מינהלית הנותנת רישיונות בניה בניגוד לחוק. הרשות מפלה לרעה את פלוני. אין בהפליה הפסולה כדי לחייב את הרשות השלטונית להעניק רישיון בניה גם לפלוני, שכן חיוב זה עומד בניגוד לחוק... כשם שהבטחה שלטונית אינה יכולה לחייב רשות מינהלית לפעול בניגוד לחוק, כן אין הפליה יכולה לחייבה לפעול בניגוד לחוק" (שם, בעמ' 203, וראו גם, </w:t>
      </w:r>
      <w:hyperlink r:id="rId71" w:history="1">
        <w:r w:rsidR="006D5E3B" w:rsidRPr="006D5E3B">
          <w:rPr>
            <w:color w:val="0000FF"/>
            <w:u w:val="single"/>
            <w:rtl/>
          </w:rPr>
          <w:t>בג"צ 640/78 בוריס קצאן נ' יושב ראש הוועדה המקומית לתכנון עיר נתניה, פ"ד לד</w:t>
        </w:r>
      </w:hyperlink>
      <w:r>
        <w:rPr>
          <w:rFonts w:hint="cs"/>
          <w:rtl/>
        </w:rPr>
        <w:t xml:space="preserve">(1) 1 (1970); </w:t>
      </w:r>
      <w:hyperlink r:id="rId72" w:history="1">
        <w:r w:rsidR="006D5E3B" w:rsidRPr="006D5E3B">
          <w:rPr>
            <w:color w:val="0000FF"/>
            <w:u w:val="single"/>
            <w:rtl/>
          </w:rPr>
          <w:t>בג"צ 301/69 שמילביץ נ' עיריית תל אביב-יפו, פ"ד כד</w:t>
        </w:r>
      </w:hyperlink>
      <w:r>
        <w:rPr>
          <w:rFonts w:hint="cs"/>
          <w:rtl/>
        </w:rPr>
        <w:t>(1) 302 (1979)).</w:t>
      </w:r>
    </w:p>
    <w:p w:rsidR="0060249E" w:rsidRDefault="0060249E">
      <w:pPr>
        <w:pStyle w:val="Ruller40"/>
        <w:rPr>
          <w:rFonts w:hint="cs"/>
          <w:rtl/>
        </w:rPr>
      </w:pPr>
    </w:p>
    <w:p w:rsidR="0060249E" w:rsidRDefault="0060249E">
      <w:pPr>
        <w:pStyle w:val="Ruller40"/>
        <w:rPr>
          <w:rFonts w:hint="cs"/>
          <w:rtl/>
        </w:rPr>
      </w:pPr>
      <w:r>
        <w:rPr>
          <w:rFonts w:hint="cs"/>
          <w:rtl/>
        </w:rPr>
        <w:tab/>
        <w:t>לסיכום, אינני סבור כי המערערים יכולים להבנות מטענת האפליה, שכן אין לחייב את מוסדות התכנון להעניק להם היתר בניה המנוגד לתכנית המתאר, גם אם בשני מקרים אחרים ניתנו היתרי בניה, שלא כדין.</w:t>
      </w:r>
    </w:p>
    <w:p w:rsidR="0060249E" w:rsidRDefault="0060249E">
      <w:pPr>
        <w:pStyle w:val="Ruller40"/>
        <w:rPr>
          <w:rFonts w:hint="cs"/>
          <w:rtl/>
        </w:rPr>
      </w:pPr>
    </w:p>
    <w:p w:rsidR="0060249E" w:rsidRDefault="0060249E">
      <w:pPr>
        <w:pStyle w:val="Ruller40"/>
        <w:rPr>
          <w:rFonts w:ascii="Times New Roman" w:hAnsi="Times New Roman" w:cs="Miriam" w:hint="cs"/>
          <w:spacing w:val="0"/>
          <w:sz w:val="28"/>
          <w:szCs w:val="24"/>
          <w:rtl/>
        </w:rPr>
      </w:pPr>
      <w:r>
        <w:rPr>
          <w:rFonts w:ascii="Times New Roman" w:hAnsi="Times New Roman" w:cs="Miriam" w:hint="cs"/>
          <w:spacing w:val="0"/>
          <w:sz w:val="28"/>
          <w:szCs w:val="24"/>
          <w:rtl/>
        </w:rPr>
        <w:t>בקשתם הנוספת של המערערים</w:t>
      </w:r>
    </w:p>
    <w:p w:rsidR="0060249E" w:rsidRDefault="0060249E">
      <w:pPr>
        <w:pStyle w:val="Ruller40"/>
        <w:rPr>
          <w:rFonts w:hint="cs"/>
          <w:rtl/>
        </w:rPr>
      </w:pPr>
    </w:p>
    <w:p w:rsidR="0060249E" w:rsidRDefault="0060249E">
      <w:pPr>
        <w:pStyle w:val="Ruller40"/>
        <w:rPr>
          <w:rFonts w:hint="cs"/>
          <w:rtl/>
        </w:rPr>
      </w:pPr>
      <w:r>
        <w:rPr>
          <w:rFonts w:hint="cs"/>
          <w:rtl/>
        </w:rPr>
        <w:t>26.</w:t>
      </w:r>
      <w:r>
        <w:rPr>
          <w:rFonts w:hint="cs"/>
          <w:rtl/>
        </w:rPr>
        <w:tab/>
        <w:t>בבקשה כתובה ששלחו המערערים, לאחר הדיון בערעור, הם דורשים לקיים בעניינם "</w:t>
      </w:r>
      <w:r>
        <w:rPr>
          <w:rFonts w:ascii="Times New Roman" w:hAnsi="Times New Roman" w:cs="Miriam" w:hint="cs"/>
          <w:spacing w:val="0"/>
          <w:sz w:val="28"/>
          <w:szCs w:val="24"/>
          <w:rtl/>
        </w:rPr>
        <w:t>דיון נוסף בפני הרכב מורחב</w:t>
      </w:r>
      <w:r>
        <w:rPr>
          <w:rFonts w:hint="cs"/>
          <w:rtl/>
        </w:rPr>
        <w:t>". מן הסתם, אין כוונתם של המערערים "</w:t>
      </w:r>
      <w:r>
        <w:rPr>
          <w:rFonts w:ascii="Times New Roman" w:hAnsi="Times New Roman" w:cs="Miriam" w:hint="cs"/>
          <w:spacing w:val="0"/>
          <w:sz w:val="28"/>
          <w:szCs w:val="24"/>
          <w:rtl/>
        </w:rPr>
        <w:t>לדיון נוסף</w:t>
      </w:r>
      <w:r>
        <w:rPr>
          <w:rFonts w:hint="cs"/>
          <w:rtl/>
        </w:rPr>
        <w:t xml:space="preserve">", כמשמעו </w:t>
      </w:r>
      <w:hyperlink r:id="rId73" w:history="1">
        <w:r w:rsidR="00FE30BD" w:rsidRPr="00FE30BD">
          <w:rPr>
            <w:rStyle w:val="Hyperlink"/>
            <w:rFonts w:hint="eastAsia"/>
            <w:rtl/>
          </w:rPr>
          <w:t>בסעיף</w:t>
        </w:r>
        <w:r w:rsidR="00FE30BD" w:rsidRPr="00FE30BD">
          <w:rPr>
            <w:rStyle w:val="Hyperlink"/>
            <w:rtl/>
          </w:rPr>
          <w:t xml:space="preserve"> 30</w:t>
        </w:r>
      </w:hyperlink>
      <w:r>
        <w:rPr>
          <w:rFonts w:hint="cs"/>
          <w:rtl/>
        </w:rPr>
        <w:t xml:space="preserve"> ל</w:t>
      </w:r>
      <w:hyperlink r:id="rId74" w:history="1">
        <w:r w:rsidR="00665961" w:rsidRPr="00665961">
          <w:rPr>
            <w:color w:val="0000FF"/>
            <w:u w:val="single"/>
            <w:rtl/>
          </w:rPr>
          <w:t>חוק בתי המשפט</w:t>
        </w:r>
      </w:hyperlink>
      <w:r w:rsidR="006D5E3B" w:rsidRPr="00665961">
        <w:rPr>
          <w:rtl/>
        </w:rPr>
        <w:t xml:space="preserve"> [נוסח משולב]</w:t>
      </w:r>
      <w:r>
        <w:rPr>
          <w:rFonts w:hint="cs"/>
          <w:rtl/>
        </w:rPr>
        <w:t>, התשמ"ד-1984, הנוגע ל"</w:t>
      </w:r>
      <w:r>
        <w:rPr>
          <w:rFonts w:ascii="Times New Roman" w:hAnsi="Times New Roman" w:cs="Miriam" w:hint="cs"/>
          <w:spacing w:val="0"/>
          <w:sz w:val="28"/>
          <w:szCs w:val="24"/>
          <w:rtl/>
        </w:rPr>
        <w:t>עניין שפסק בו בית המשפט העליון בשלושה</w:t>
      </w:r>
      <w:r>
        <w:rPr>
          <w:rFonts w:hint="cs"/>
          <w:rtl/>
        </w:rPr>
        <w:t>". הכוונה היא, כך נראה, לדיון מחודש בערעורם בהרכב מורחב, אשר ישמש כמעין ועדת חקירה ואשר "</w:t>
      </w:r>
      <w:r>
        <w:rPr>
          <w:rFonts w:ascii="Times New Roman" w:hAnsi="Times New Roman" w:cs="Miriam" w:hint="cs"/>
          <w:spacing w:val="0"/>
          <w:sz w:val="28"/>
          <w:szCs w:val="24"/>
          <w:rtl/>
        </w:rPr>
        <w:t>ירד לעומקם של עובדות וראיות</w:t>
      </w:r>
      <w:r>
        <w:rPr>
          <w:rFonts w:hint="cs"/>
          <w:rtl/>
        </w:rPr>
        <w:t>". זאת, על-מנת להגיע לתוצאה של "</w:t>
      </w:r>
      <w:r>
        <w:rPr>
          <w:rFonts w:ascii="Times New Roman" w:hAnsi="Times New Roman" w:cs="Miriam" w:hint="cs"/>
          <w:spacing w:val="0"/>
          <w:sz w:val="28"/>
          <w:szCs w:val="24"/>
          <w:rtl/>
        </w:rPr>
        <w:t>מתן פס"ד חיובי</w:t>
      </w:r>
      <w:r>
        <w:rPr>
          <w:rFonts w:hint="cs"/>
          <w:rtl/>
        </w:rPr>
        <w:t>", כאופציה יחידה העומדת בפני בית המשפט.</w:t>
      </w:r>
    </w:p>
    <w:p w:rsidR="0060249E" w:rsidRDefault="0060249E">
      <w:pPr>
        <w:pStyle w:val="Ruller40"/>
        <w:rPr>
          <w:rFonts w:hint="cs"/>
          <w:rtl/>
        </w:rPr>
      </w:pPr>
    </w:p>
    <w:p w:rsidR="0060249E" w:rsidRDefault="0060249E">
      <w:pPr>
        <w:pStyle w:val="Ruller40"/>
        <w:rPr>
          <w:rFonts w:hint="cs"/>
          <w:rtl/>
        </w:rPr>
      </w:pPr>
      <w:r>
        <w:rPr>
          <w:rFonts w:hint="cs"/>
          <w:rtl/>
        </w:rPr>
        <w:tab/>
        <w:t xml:space="preserve">אין כל ממש בבקשה זו, ויש לדחותה על הסף. </w:t>
      </w:r>
    </w:p>
    <w:p w:rsidR="0060249E" w:rsidRDefault="0060249E">
      <w:pPr>
        <w:pStyle w:val="Ruller40"/>
        <w:rPr>
          <w:rFonts w:hint="cs"/>
          <w:rtl/>
        </w:rPr>
      </w:pPr>
    </w:p>
    <w:p w:rsidR="0060249E" w:rsidRDefault="0060249E">
      <w:pPr>
        <w:pStyle w:val="Ruller40"/>
        <w:rPr>
          <w:rFonts w:hint="cs"/>
          <w:rtl/>
        </w:rPr>
      </w:pPr>
      <w:r>
        <w:rPr>
          <w:rFonts w:hint="cs"/>
          <w:rtl/>
        </w:rPr>
        <w:tab/>
        <w:t xml:space="preserve">במהלך הדיון בערעור, היה למערערים יומם בבית משפט זה, כאשר מעבר לטיעונים בעל-פה, אשר נועדו להשלמה בלבד, עמדו לנגד עינינו עיקרי הטיעון של </w:t>
      </w:r>
      <w:r>
        <w:rPr>
          <w:rFonts w:hint="cs"/>
          <w:rtl/>
        </w:rPr>
        <w:lastRenderedPageBreak/>
        <w:t>הצדדים, הודעת הערעור המפורטת, ההחלטות הקודמות שניתנו בעניינם של המערערים, וכן מסמכים ומוצגים, אשר צורפו על-ידי המערערים והמשיבים.</w:t>
      </w:r>
    </w:p>
    <w:p w:rsidR="0060249E" w:rsidRDefault="0060249E">
      <w:pPr>
        <w:pStyle w:val="Ruller40"/>
        <w:rPr>
          <w:rFonts w:hint="cs"/>
          <w:rtl/>
        </w:rPr>
      </w:pPr>
    </w:p>
    <w:p w:rsidR="0060249E" w:rsidRDefault="0060249E">
      <w:pPr>
        <w:pStyle w:val="Ruller40"/>
        <w:rPr>
          <w:rFonts w:hint="cs"/>
          <w:rtl/>
        </w:rPr>
      </w:pPr>
      <w:r>
        <w:rPr>
          <w:rFonts w:hint="cs"/>
          <w:rtl/>
        </w:rPr>
        <w:tab/>
        <w:t>ניתנה למערערים, ובעיקר למערער 1, הזדמנות נאותה לפרוש בהרחבה את טיעוניהם ואין בסיס לטענה כי לא התאפשר להם "</w:t>
      </w:r>
      <w:r>
        <w:rPr>
          <w:rFonts w:ascii="Times New Roman" w:hAnsi="Times New Roman" w:cs="Miriam" w:hint="cs"/>
          <w:spacing w:val="0"/>
          <w:sz w:val="28"/>
          <w:szCs w:val="24"/>
          <w:rtl/>
        </w:rPr>
        <w:t>לסכם כראוי</w:t>
      </w:r>
      <w:r>
        <w:rPr>
          <w:rFonts w:hint="cs"/>
          <w:rtl/>
        </w:rPr>
        <w:t>". המערערים טוענים, כי "</w:t>
      </w:r>
      <w:r>
        <w:rPr>
          <w:rFonts w:ascii="Times New Roman" w:hAnsi="Times New Roman" w:cs="Miriam" w:hint="cs"/>
          <w:spacing w:val="0"/>
          <w:sz w:val="28"/>
          <w:szCs w:val="24"/>
          <w:rtl/>
        </w:rPr>
        <w:t>לא אופשר לנו להציג ראיות</w:t>
      </w:r>
      <w:r>
        <w:rPr>
          <w:rFonts w:hint="cs"/>
          <w:rtl/>
        </w:rPr>
        <w:t>", מבלי להבהיר אם הכוונה לראיות חדשות או להצגת ראיות המצויות, ממילא, בתיק המוצגים. אין צריך לומר, כי ככל שמדובר בראיות חדשות, אין, ככלל, מקום להגשתן במסגרת הליך ערעורי, ואף לא התבקשנו לקבל ראיות מעין אלה, למעט תצלום של הבניין בו מתגוררים המערערים, אשר התקבל על-ידינו. אשר לראיות ולמוצגים המצויים בתיק, הרי שהם היו, כאמור, לנגד עינינו, ולא היה כל צורך להגישם מחדש.</w:t>
      </w:r>
    </w:p>
    <w:p w:rsidR="0060249E" w:rsidRDefault="0060249E">
      <w:pPr>
        <w:pStyle w:val="Ruller40"/>
        <w:rPr>
          <w:rFonts w:hint="cs"/>
          <w:rtl/>
        </w:rPr>
      </w:pPr>
    </w:p>
    <w:p w:rsidR="0060249E" w:rsidRDefault="0060249E">
      <w:pPr>
        <w:pStyle w:val="Ruller40"/>
        <w:rPr>
          <w:rFonts w:hint="cs"/>
          <w:rtl/>
        </w:rPr>
      </w:pPr>
      <w:r>
        <w:rPr>
          <w:rFonts w:hint="cs"/>
          <w:rtl/>
        </w:rPr>
        <w:tab/>
        <w:t>מאחר שהדיון בערעורם של המערערים מוצה עד תום, אין כל מקום לדון בערעור זה מחדש, בין אם בהרכב המקורי ובין אם בהרכב אחר.</w:t>
      </w:r>
    </w:p>
    <w:p w:rsidR="0060249E" w:rsidRDefault="0060249E">
      <w:pPr>
        <w:pStyle w:val="Ruller40"/>
        <w:rPr>
          <w:rFonts w:hint="cs"/>
          <w:rtl/>
        </w:rPr>
      </w:pPr>
    </w:p>
    <w:p w:rsidR="0060249E" w:rsidRDefault="0060249E">
      <w:pPr>
        <w:pStyle w:val="Ruller40"/>
        <w:rPr>
          <w:rFonts w:hint="cs"/>
          <w:rtl/>
        </w:rPr>
      </w:pPr>
      <w:r>
        <w:rPr>
          <w:rFonts w:hint="cs"/>
          <w:rtl/>
        </w:rPr>
        <w:tab/>
        <w:t>בהערת סיום, מן הראוי להבהיר, כי בניגוד לרושם אותו מנסים המערערים להציג, ואפשר שזו תחושתם הסובייקטיבית, לא מצאנו כל בסיס לטענה, כי הם "</w:t>
      </w:r>
      <w:r>
        <w:rPr>
          <w:rFonts w:ascii="Times New Roman" w:hAnsi="Times New Roman" w:cs="Miriam" w:hint="cs"/>
          <w:spacing w:val="0"/>
          <w:sz w:val="28"/>
          <w:szCs w:val="24"/>
          <w:rtl/>
        </w:rPr>
        <w:t>נרדפים</w:t>
      </w:r>
      <w:r>
        <w:rPr>
          <w:rFonts w:hint="cs"/>
          <w:rtl/>
        </w:rPr>
        <w:t>" או מופלים לרעה, על-ידי הרשויות. במהלך תקופה של כעשור מנהלים המערערים התדיינויות משפטיות, בכל זירה אפשרית, מבלי שנחסמה דרכם לערכאות ומבלי שנמנע מהם להשמיע את טיעוניהם ולהציג את ראיותיהם. בכל המקרים ניתנו החלטות ענייניות ומנומקות, ואין לקבל את גישת המערערים, לפיה יש לראות "</w:t>
      </w:r>
      <w:r>
        <w:rPr>
          <w:rFonts w:ascii="Times New Roman" w:hAnsi="Times New Roman" w:cs="Miriam" w:hint="cs"/>
          <w:spacing w:val="0"/>
          <w:sz w:val="28"/>
          <w:szCs w:val="24"/>
          <w:rtl/>
        </w:rPr>
        <w:t>כעוולה שיפוטית</w:t>
      </w:r>
      <w:r>
        <w:rPr>
          <w:rFonts w:hint="cs"/>
          <w:rtl/>
        </w:rPr>
        <w:t>" כל החלטה שאינה מאמצת, א-פריורית, את עמדתם.</w:t>
      </w:r>
    </w:p>
    <w:p w:rsidR="0060249E" w:rsidRDefault="0060249E">
      <w:pPr>
        <w:pStyle w:val="Ruller40"/>
        <w:rPr>
          <w:rFonts w:hint="cs"/>
          <w:rtl/>
        </w:rPr>
      </w:pPr>
    </w:p>
    <w:p w:rsidR="0060249E" w:rsidRDefault="0060249E">
      <w:pPr>
        <w:pStyle w:val="Ruller40"/>
        <w:rPr>
          <w:rFonts w:hint="cs"/>
          <w:rtl/>
        </w:rPr>
      </w:pPr>
      <w:r>
        <w:rPr>
          <w:rFonts w:hint="cs"/>
          <w:rtl/>
        </w:rPr>
        <w:tab/>
        <w:t>בסופו של יום, המערערים לא ביצעו את צווי בית המשפט, ואם הם נדרשים לתת את הדין על כך, אין להם להלין אלא על עצמם.</w:t>
      </w:r>
    </w:p>
    <w:p w:rsidR="0060249E" w:rsidRDefault="0060249E">
      <w:pPr>
        <w:pStyle w:val="Ruller40"/>
        <w:rPr>
          <w:rFonts w:hint="cs"/>
          <w:rtl/>
        </w:rPr>
      </w:pPr>
    </w:p>
    <w:p w:rsidR="0060249E" w:rsidRDefault="0060249E">
      <w:pPr>
        <w:pStyle w:val="Ruller40"/>
        <w:rPr>
          <w:rFonts w:hint="cs"/>
          <w:rtl/>
        </w:rPr>
      </w:pPr>
      <w:r>
        <w:rPr>
          <w:rFonts w:ascii="Times New Roman" w:hAnsi="Times New Roman" w:cs="Miriam" w:hint="cs"/>
          <w:spacing w:val="0"/>
          <w:sz w:val="28"/>
          <w:szCs w:val="24"/>
          <w:rtl/>
        </w:rPr>
        <w:t>סוף</w:t>
      </w:r>
      <w:r>
        <w:rPr>
          <w:rFonts w:hint="cs"/>
          <w:rtl/>
        </w:rPr>
        <w:t xml:space="preserve"> </w:t>
      </w:r>
      <w:r>
        <w:rPr>
          <w:rFonts w:ascii="Times New Roman" w:hAnsi="Times New Roman" w:cs="Miriam" w:hint="cs"/>
          <w:spacing w:val="0"/>
          <w:sz w:val="28"/>
          <w:szCs w:val="24"/>
          <w:rtl/>
        </w:rPr>
        <w:t>דבר</w:t>
      </w:r>
    </w:p>
    <w:p w:rsidR="0060249E" w:rsidRDefault="0060249E">
      <w:pPr>
        <w:pStyle w:val="Ruller40"/>
        <w:rPr>
          <w:rFonts w:hint="cs"/>
          <w:rtl/>
        </w:rPr>
      </w:pPr>
    </w:p>
    <w:p w:rsidR="0060249E" w:rsidRDefault="0060249E">
      <w:pPr>
        <w:pStyle w:val="Ruller40"/>
        <w:rPr>
          <w:rFonts w:hint="cs"/>
          <w:rtl/>
        </w:rPr>
      </w:pPr>
      <w:r>
        <w:rPr>
          <w:rFonts w:hint="cs"/>
          <w:rtl/>
        </w:rPr>
        <w:t>27.</w:t>
      </w:r>
      <w:r>
        <w:rPr>
          <w:rFonts w:hint="cs"/>
          <w:rtl/>
        </w:rPr>
        <w:tab/>
        <w:t>לאור האמור לעיל, אציע לחבריי לדחות את הערעור על פסק דינו של בית המשפט המחוזי.</w:t>
      </w:r>
    </w:p>
    <w:p w:rsidR="0060249E" w:rsidRDefault="0060249E">
      <w:pPr>
        <w:pStyle w:val="Ruller40"/>
        <w:rPr>
          <w:rFonts w:hint="cs"/>
          <w:rtl/>
        </w:rPr>
      </w:pPr>
    </w:p>
    <w:p w:rsidR="0060249E" w:rsidRDefault="0060249E">
      <w:pPr>
        <w:pStyle w:val="Ruller40"/>
        <w:rPr>
          <w:rFonts w:hint="cs"/>
          <w:rtl/>
        </w:rPr>
      </w:pPr>
      <w:r>
        <w:rPr>
          <w:rFonts w:hint="cs"/>
          <w:rtl/>
        </w:rPr>
        <w:tab/>
        <w:t>בנסיבות העניין, לא יינתן צו להוצאות.         </w:t>
      </w:r>
    </w:p>
    <w:p w:rsidR="0060249E" w:rsidRDefault="0060249E">
      <w:pPr>
        <w:pStyle w:val="Ruller40"/>
        <w:rPr>
          <w:rFonts w:hint="cs"/>
          <w:rtl/>
        </w:rPr>
      </w:pPr>
    </w:p>
    <w:tbl>
      <w:tblPr>
        <w:bidiVisual/>
        <w:tblW w:w="0" w:type="auto"/>
        <w:tblLook w:val="01E0"/>
      </w:tblPr>
      <w:tblGrid>
        <w:gridCol w:w="2840"/>
        <w:gridCol w:w="2841"/>
        <w:gridCol w:w="2841"/>
      </w:tblGrid>
      <w:tr w:rsidR="0060249E" w:rsidRPr="00552572" w:rsidTr="00552572">
        <w:tc>
          <w:tcPr>
            <w:tcW w:w="2842" w:type="dxa"/>
            <w:shd w:val="clear" w:color="auto" w:fill="auto"/>
          </w:tcPr>
          <w:p w:rsidR="0060249E" w:rsidRDefault="0060249E">
            <w:pPr>
              <w:pStyle w:val="Ruller40"/>
            </w:pPr>
          </w:p>
        </w:tc>
        <w:tc>
          <w:tcPr>
            <w:tcW w:w="2843" w:type="dxa"/>
            <w:shd w:val="clear" w:color="auto" w:fill="auto"/>
          </w:tcPr>
          <w:p w:rsidR="0060249E" w:rsidRDefault="0060249E">
            <w:pPr>
              <w:pStyle w:val="Ruller40"/>
            </w:pPr>
          </w:p>
        </w:tc>
        <w:tc>
          <w:tcPr>
            <w:tcW w:w="2843" w:type="dxa"/>
            <w:shd w:val="clear" w:color="auto" w:fill="auto"/>
          </w:tcPr>
          <w:p w:rsidR="0060249E" w:rsidRDefault="0060249E">
            <w:pPr>
              <w:pStyle w:val="Ruller40"/>
            </w:pPr>
            <w:r>
              <w:rPr>
                <w:rFonts w:hint="cs"/>
                <w:rtl/>
              </w:rPr>
              <w:t>ש ו פ ט</w:t>
            </w:r>
          </w:p>
        </w:tc>
      </w:tr>
    </w:tbl>
    <w:p w:rsidR="0060249E" w:rsidRDefault="0060249E">
      <w:pPr>
        <w:pStyle w:val="Ruller40"/>
        <w:rPr>
          <w:rFonts w:hint="cs"/>
          <w:rtl/>
        </w:rPr>
      </w:pPr>
    </w:p>
    <w:p w:rsidR="0060249E" w:rsidRDefault="0060249E">
      <w:pPr>
        <w:pStyle w:val="Ruller40"/>
        <w:rPr>
          <w:rFonts w:ascii="Times New Roman" w:hAnsi="Times New Roman" w:cs="Miriam" w:hint="cs"/>
          <w:spacing w:val="0"/>
          <w:sz w:val="28"/>
          <w:szCs w:val="24"/>
          <w:u w:val="single"/>
          <w:rtl/>
        </w:rPr>
      </w:pPr>
      <w:r>
        <w:rPr>
          <w:rFonts w:ascii="Times New Roman" w:hAnsi="Times New Roman" w:cs="Miriam" w:hint="cs"/>
          <w:spacing w:val="0"/>
          <w:sz w:val="28"/>
          <w:szCs w:val="24"/>
          <w:u w:val="single"/>
          <w:rtl/>
        </w:rPr>
        <w:t>השופט ס' ג'ובראן:</w:t>
      </w:r>
    </w:p>
    <w:p w:rsidR="0060249E" w:rsidRDefault="0060249E">
      <w:pPr>
        <w:pStyle w:val="Ruller40"/>
        <w:rPr>
          <w:rFonts w:hint="cs"/>
          <w:rtl/>
        </w:rPr>
      </w:pPr>
    </w:p>
    <w:p w:rsidR="0060249E" w:rsidRDefault="0060249E">
      <w:pPr>
        <w:pStyle w:val="Ruller40"/>
        <w:rPr>
          <w:rFonts w:hint="cs"/>
          <w:rtl/>
        </w:rPr>
      </w:pPr>
      <w:r>
        <w:rPr>
          <w:rFonts w:hint="cs"/>
          <w:rtl/>
        </w:rPr>
        <w:tab/>
        <w:t>אני מסכים.</w:t>
      </w:r>
    </w:p>
    <w:p w:rsidR="0060249E" w:rsidRDefault="0060249E">
      <w:pPr>
        <w:pStyle w:val="Ruller40"/>
        <w:rPr>
          <w:rFonts w:hint="cs"/>
          <w:rtl/>
        </w:rPr>
      </w:pPr>
    </w:p>
    <w:tbl>
      <w:tblPr>
        <w:bidiVisual/>
        <w:tblW w:w="0" w:type="auto"/>
        <w:tblLook w:val="01E0"/>
      </w:tblPr>
      <w:tblGrid>
        <w:gridCol w:w="2840"/>
        <w:gridCol w:w="2841"/>
        <w:gridCol w:w="2841"/>
      </w:tblGrid>
      <w:tr w:rsidR="0060249E" w:rsidRPr="00552572" w:rsidTr="00552572">
        <w:tc>
          <w:tcPr>
            <w:tcW w:w="2842" w:type="dxa"/>
            <w:shd w:val="clear" w:color="auto" w:fill="auto"/>
          </w:tcPr>
          <w:p w:rsidR="0060249E" w:rsidRDefault="0060249E">
            <w:pPr>
              <w:pStyle w:val="Ruller40"/>
            </w:pPr>
          </w:p>
        </w:tc>
        <w:tc>
          <w:tcPr>
            <w:tcW w:w="2843" w:type="dxa"/>
            <w:shd w:val="clear" w:color="auto" w:fill="auto"/>
          </w:tcPr>
          <w:p w:rsidR="0060249E" w:rsidRDefault="0060249E">
            <w:pPr>
              <w:pStyle w:val="Ruller40"/>
            </w:pPr>
          </w:p>
        </w:tc>
        <w:tc>
          <w:tcPr>
            <w:tcW w:w="2843" w:type="dxa"/>
            <w:shd w:val="clear" w:color="auto" w:fill="auto"/>
          </w:tcPr>
          <w:p w:rsidR="0060249E" w:rsidRDefault="0060249E">
            <w:pPr>
              <w:pStyle w:val="Ruller40"/>
            </w:pPr>
            <w:r>
              <w:rPr>
                <w:rFonts w:hint="cs"/>
                <w:rtl/>
              </w:rPr>
              <w:t>ש ו פ ט</w:t>
            </w:r>
          </w:p>
        </w:tc>
      </w:tr>
    </w:tbl>
    <w:p w:rsidR="0060249E" w:rsidRDefault="0060249E">
      <w:pPr>
        <w:pStyle w:val="Ruller40"/>
        <w:rPr>
          <w:rFonts w:hint="cs"/>
          <w:rtl/>
        </w:rPr>
      </w:pPr>
    </w:p>
    <w:p w:rsidR="0060249E" w:rsidRDefault="0060249E">
      <w:pPr>
        <w:pStyle w:val="Ruller40"/>
        <w:rPr>
          <w:rFonts w:ascii="Times New Roman" w:hAnsi="Times New Roman" w:cs="Miriam" w:hint="cs"/>
          <w:spacing w:val="0"/>
          <w:sz w:val="28"/>
          <w:szCs w:val="24"/>
          <w:u w:val="single"/>
          <w:rtl/>
        </w:rPr>
      </w:pPr>
      <w:r>
        <w:rPr>
          <w:rFonts w:ascii="Times New Roman" w:hAnsi="Times New Roman" w:cs="Miriam" w:hint="cs"/>
          <w:spacing w:val="0"/>
          <w:sz w:val="28"/>
          <w:szCs w:val="24"/>
          <w:u w:val="single"/>
          <w:rtl/>
        </w:rPr>
        <w:t>השופט נ' הנדל:</w:t>
      </w:r>
    </w:p>
    <w:p w:rsidR="0060249E" w:rsidRDefault="0060249E">
      <w:pPr>
        <w:pStyle w:val="Ruller40"/>
        <w:rPr>
          <w:rFonts w:hint="cs"/>
          <w:rtl/>
        </w:rPr>
      </w:pPr>
    </w:p>
    <w:p w:rsidR="0060249E" w:rsidRDefault="0060249E">
      <w:pPr>
        <w:pStyle w:val="Ruller40"/>
        <w:rPr>
          <w:rFonts w:hint="cs"/>
          <w:rtl/>
        </w:rPr>
      </w:pPr>
      <w:r>
        <w:rPr>
          <w:rFonts w:hint="cs"/>
          <w:rtl/>
        </w:rPr>
        <w:tab/>
        <w:t>אני מסכים.</w:t>
      </w:r>
    </w:p>
    <w:p w:rsidR="0060249E" w:rsidRDefault="0060249E">
      <w:pPr>
        <w:pStyle w:val="Ruller40"/>
        <w:rPr>
          <w:rFonts w:hint="cs"/>
          <w:rtl/>
        </w:rPr>
      </w:pPr>
    </w:p>
    <w:tbl>
      <w:tblPr>
        <w:bidiVisual/>
        <w:tblW w:w="0" w:type="auto"/>
        <w:tblLook w:val="01E0"/>
      </w:tblPr>
      <w:tblGrid>
        <w:gridCol w:w="2840"/>
        <w:gridCol w:w="2841"/>
        <w:gridCol w:w="2841"/>
      </w:tblGrid>
      <w:tr w:rsidR="0060249E" w:rsidRPr="00552572" w:rsidTr="00552572">
        <w:tc>
          <w:tcPr>
            <w:tcW w:w="2842" w:type="dxa"/>
            <w:shd w:val="clear" w:color="auto" w:fill="auto"/>
          </w:tcPr>
          <w:p w:rsidR="0060249E" w:rsidRDefault="0060249E">
            <w:pPr>
              <w:pStyle w:val="Ruller40"/>
            </w:pPr>
          </w:p>
        </w:tc>
        <w:tc>
          <w:tcPr>
            <w:tcW w:w="2843" w:type="dxa"/>
            <w:shd w:val="clear" w:color="auto" w:fill="auto"/>
          </w:tcPr>
          <w:p w:rsidR="0060249E" w:rsidRDefault="0060249E">
            <w:pPr>
              <w:pStyle w:val="Ruller40"/>
            </w:pPr>
          </w:p>
        </w:tc>
        <w:tc>
          <w:tcPr>
            <w:tcW w:w="2843" w:type="dxa"/>
            <w:shd w:val="clear" w:color="auto" w:fill="auto"/>
          </w:tcPr>
          <w:p w:rsidR="0060249E" w:rsidRDefault="0060249E">
            <w:pPr>
              <w:pStyle w:val="Ruller40"/>
            </w:pPr>
            <w:r>
              <w:rPr>
                <w:rFonts w:hint="cs"/>
                <w:rtl/>
              </w:rPr>
              <w:t>ש ו פ ט</w:t>
            </w:r>
          </w:p>
        </w:tc>
      </w:tr>
    </w:tbl>
    <w:p w:rsidR="0060249E" w:rsidRDefault="0060249E">
      <w:pPr>
        <w:pStyle w:val="Ruller40"/>
        <w:rPr>
          <w:rFonts w:hint="cs"/>
          <w:b/>
          <w:bCs/>
          <w:rtl/>
        </w:rPr>
      </w:pPr>
    </w:p>
    <w:p w:rsidR="0060249E" w:rsidRDefault="0060249E">
      <w:pPr>
        <w:pStyle w:val="Ruller40"/>
        <w:rPr>
          <w:rFonts w:hint="cs"/>
          <w:rtl/>
        </w:rPr>
      </w:pPr>
      <w:r>
        <w:rPr>
          <w:rFonts w:hint="cs"/>
          <w:rtl/>
        </w:rPr>
        <w:tab/>
        <w:t>הוחלט כאמור בפסק דינו של השופט א' שהם.</w:t>
      </w:r>
    </w:p>
    <w:p w:rsidR="0060249E" w:rsidRDefault="0060249E">
      <w:pPr>
        <w:pStyle w:val="Ruller40"/>
        <w:rPr>
          <w:rFonts w:hint="cs"/>
          <w:rtl/>
        </w:rPr>
      </w:pPr>
    </w:p>
    <w:p w:rsidR="006D5E3B" w:rsidRPr="006D5E3B" w:rsidRDefault="006D5E3B" w:rsidP="006D5E3B">
      <w:pPr>
        <w:pStyle w:val="Ruller40"/>
        <w:keepNext/>
        <w:jc w:val="left"/>
        <w:rPr>
          <w:rFonts w:ascii="David" w:hAnsi="David" w:cs="David"/>
          <w:color w:val="000000"/>
          <w:szCs w:val="22"/>
          <w:rtl/>
        </w:rPr>
      </w:pPr>
    </w:p>
    <w:p w:rsidR="006D5E3B" w:rsidRPr="006D5E3B" w:rsidRDefault="006D5E3B" w:rsidP="006D5E3B">
      <w:pPr>
        <w:pStyle w:val="Ruller40"/>
        <w:keepNext/>
        <w:jc w:val="left"/>
        <w:rPr>
          <w:rFonts w:ascii="David" w:hAnsi="David" w:cs="David"/>
          <w:color w:val="000000"/>
          <w:szCs w:val="22"/>
          <w:rtl/>
        </w:rPr>
      </w:pPr>
      <w:r w:rsidRPr="006D5E3B">
        <w:rPr>
          <w:rFonts w:ascii="David" w:hAnsi="David" w:cs="David"/>
          <w:color w:val="000000"/>
          <w:szCs w:val="22"/>
          <w:rtl/>
        </w:rPr>
        <w:t>ס' ג'ובראן 54678313-2131/12</w:t>
      </w:r>
    </w:p>
    <w:p w:rsidR="0060249E" w:rsidRDefault="006D5E3B">
      <w:pPr>
        <w:pStyle w:val="Ruller40"/>
        <w:rPr>
          <w:rFonts w:hint="cs"/>
          <w:rtl/>
        </w:rPr>
      </w:pPr>
      <w:r w:rsidRPr="006D5E3B">
        <w:rPr>
          <w:color w:val="FFFFFF"/>
          <w:sz w:val="2"/>
          <w:szCs w:val="2"/>
          <w:rtl/>
        </w:rPr>
        <w:t>5129371</w:t>
      </w:r>
      <w:r>
        <w:rPr>
          <w:rtl/>
        </w:rPr>
        <w:t xml:space="preserve">  ניתן היום, ה' בשבט התשע"ג (16.1.2013). </w:t>
      </w:r>
      <w:r w:rsidR="0060249E">
        <w:rPr>
          <w:rFonts w:hint="cs"/>
          <w:rtl/>
        </w:rPr>
        <w:t>                                                              </w:t>
      </w:r>
    </w:p>
    <w:tbl>
      <w:tblPr>
        <w:bidiVisual/>
        <w:tblW w:w="0" w:type="auto"/>
        <w:tblLook w:val="01E0"/>
      </w:tblPr>
      <w:tblGrid>
        <w:gridCol w:w="2840"/>
        <w:gridCol w:w="2841"/>
        <w:gridCol w:w="2841"/>
      </w:tblGrid>
      <w:tr w:rsidR="0060249E" w:rsidRPr="00552572" w:rsidTr="00552572">
        <w:tc>
          <w:tcPr>
            <w:tcW w:w="2842" w:type="dxa"/>
            <w:shd w:val="clear" w:color="auto" w:fill="auto"/>
          </w:tcPr>
          <w:p w:rsidR="0060249E" w:rsidRDefault="006D5E3B">
            <w:pPr>
              <w:pStyle w:val="Ruller40"/>
            </w:pPr>
            <w:r w:rsidRPr="00552572">
              <w:rPr>
                <w:color w:val="FFFFFF"/>
                <w:sz w:val="2"/>
                <w:szCs w:val="2"/>
                <w:rtl/>
              </w:rPr>
              <w:t>54678313</w:t>
            </w:r>
            <w:r w:rsidR="0060249E">
              <w:rPr>
                <w:rFonts w:hint="cs"/>
                <w:rtl/>
              </w:rPr>
              <w:t>ש ו פ ט</w:t>
            </w:r>
          </w:p>
        </w:tc>
        <w:tc>
          <w:tcPr>
            <w:tcW w:w="2843" w:type="dxa"/>
            <w:shd w:val="clear" w:color="auto" w:fill="auto"/>
          </w:tcPr>
          <w:p w:rsidR="0060249E" w:rsidRDefault="0060249E">
            <w:pPr>
              <w:pStyle w:val="Ruller40"/>
            </w:pPr>
            <w:r>
              <w:rPr>
                <w:rFonts w:hint="cs"/>
                <w:rtl/>
              </w:rPr>
              <w:t>ש ו פ ט</w:t>
            </w:r>
          </w:p>
        </w:tc>
        <w:tc>
          <w:tcPr>
            <w:tcW w:w="2843" w:type="dxa"/>
            <w:shd w:val="clear" w:color="auto" w:fill="auto"/>
          </w:tcPr>
          <w:p w:rsidR="0060249E" w:rsidRDefault="0060249E">
            <w:pPr>
              <w:pStyle w:val="Ruller40"/>
            </w:pPr>
            <w:r>
              <w:rPr>
                <w:rFonts w:hint="cs"/>
                <w:rtl/>
              </w:rPr>
              <w:t>ש ו פ ט</w:t>
            </w:r>
          </w:p>
        </w:tc>
      </w:tr>
    </w:tbl>
    <w:p w:rsidR="0060249E" w:rsidRDefault="0060249E">
      <w:pPr>
        <w:rPr>
          <w:rFonts w:hint="cs"/>
          <w:szCs w:val="16"/>
          <w:rtl/>
        </w:rPr>
      </w:pPr>
      <w:r>
        <w:rPr>
          <w:rFonts w:hint="cs"/>
          <w:szCs w:val="16"/>
          <w:rtl/>
        </w:rPr>
        <w:t>_________________________</w:t>
      </w:r>
    </w:p>
    <w:p w:rsidR="0060249E" w:rsidRDefault="0060249E">
      <w:pPr>
        <w:pStyle w:val="Ruller38"/>
        <w:rPr>
          <w:rFonts w:hint="cs"/>
          <w:rtl/>
        </w:rPr>
      </w:pPr>
      <w:r>
        <w:rPr>
          <w:rFonts w:hint="cs"/>
          <w:rtl/>
        </w:rPr>
        <w:t>העותק כפוף לשינויי עריכה וניסוח.</w:t>
      </w:r>
      <w:r>
        <w:rPr>
          <w:rFonts w:hint="cs"/>
          <w:sz w:val="16"/>
        </w:rPr>
        <w:t xml:space="preserve"> </w:t>
      </w:r>
      <w:r>
        <w:rPr>
          <w:sz w:val="16"/>
        </w:rPr>
        <w:t>  </w:t>
      </w:r>
      <w:bookmarkStart w:id="13" w:name="FileName"/>
      <w:r>
        <w:rPr>
          <w:sz w:val="16"/>
        </w:rPr>
        <w:t xml:space="preserve">12021310_I17.doc   </w:t>
      </w:r>
      <w:bookmarkEnd w:id="13"/>
      <w:r>
        <w:rPr>
          <w:rFonts w:hint="cs"/>
          <w:sz w:val="16"/>
          <w:rtl/>
        </w:rPr>
        <w:t>יא</w:t>
      </w:r>
    </w:p>
    <w:p w:rsidR="006D5E3B" w:rsidRPr="006D5E3B" w:rsidRDefault="0060249E" w:rsidP="006D5E3B">
      <w:pPr>
        <w:pStyle w:val="Ruller38"/>
        <w:rPr>
          <w:rFonts w:hint="cs"/>
          <w:color w:val="000000"/>
          <w:rtl/>
        </w:rPr>
      </w:pPr>
      <w:r>
        <w:rPr>
          <w:rFonts w:hint="cs"/>
          <w:rtl/>
        </w:rPr>
        <w:t xml:space="preserve">מרכז מידע, טל' 077-2703333 ; אתר אינטרנט,  </w:t>
      </w:r>
      <w:hyperlink r:id="rId75" w:history="1">
        <w:r>
          <w:rPr>
            <w:rStyle w:val="Hyperlink"/>
            <w:sz w:val="16"/>
          </w:rPr>
          <w:t>www.court.gov.il</w:t>
        </w:r>
      </w:hyperlink>
    </w:p>
    <w:p w:rsidR="006D5E3B" w:rsidRDefault="006D5E3B" w:rsidP="006D5E3B">
      <w:pPr>
        <w:pStyle w:val="Ruller38"/>
        <w:rPr>
          <w:rtl/>
        </w:rPr>
      </w:pPr>
      <w:r w:rsidRPr="006D5E3B">
        <w:rPr>
          <w:color w:val="000000"/>
          <w:rtl/>
        </w:rPr>
        <w:t>נוסח מסמך זה כפוף לשינויי ניסוח ועריכה</w:t>
      </w:r>
    </w:p>
    <w:p w:rsidR="006D5E3B" w:rsidRDefault="006D5E3B" w:rsidP="006D5E3B">
      <w:pPr>
        <w:pStyle w:val="Ruller38"/>
        <w:rPr>
          <w:rtl/>
        </w:rPr>
      </w:pPr>
    </w:p>
    <w:p w:rsidR="006D5E3B" w:rsidRDefault="006D5E3B" w:rsidP="006D5E3B">
      <w:pPr>
        <w:pStyle w:val="Ruller38"/>
        <w:jc w:val="center"/>
        <w:rPr>
          <w:color w:val="0000FF"/>
          <w:szCs w:val="24"/>
          <w:u w:val="single"/>
          <w:rtl/>
        </w:rPr>
      </w:pPr>
      <w:hyperlink r:id="rId76" w:history="1">
        <w:r>
          <w:rPr>
            <w:color w:val="0000FF"/>
            <w:szCs w:val="24"/>
            <w:u w:val="single"/>
            <w:rtl/>
          </w:rPr>
          <w:t>בעניין עריכה ושינויים במסמכי פסיקה, חקיקה ועוד באתר נבו – הקש כאן</w:t>
        </w:r>
      </w:hyperlink>
    </w:p>
    <w:p w:rsidR="0060249E" w:rsidRPr="006D5E3B" w:rsidRDefault="0060249E" w:rsidP="006D5E3B">
      <w:pPr>
        <w:pStyle w:val="Ruller38"/>
        <w:jc w:val="center"/>
        <w:rPr>
          <w:rFonts w:hint="cs"/>
          <w:color w:val="0000FF"/>
          <w:szCs w:val="24"/>
          <w:u w:val="single"/>
          <w:rtl/>
        </w:rPr>
      </w:pPr>
    </w:p>
    <w:sectPr w:rsidR="0060249E" w:rsidRPr="006D5E3B" w:rsidSect="006D5E3B">
      <w:headerReference w:type="even" r:id="rId77"/>
      <w:headerReference w:type="default" r:id="rId78"/>
      <w:footerReference w:type="even" r:id="rId79"/>
      <w:footerReference w:type="default" r:id="rId80"/>
      <w:endnotePr>
        <w:numFmt w:val="lowerLetter"/>
      </w:endnotePr>
      <w:pgSz w:w="11906" w:h="16838"/>
      <w:pgMar w:top="1701" w:right="1800" w:bottom="1440" w:left="1800" w:header="708" w:footer="708" w:gutter="0"/>
      <w:pgNumType w:start="1"/>
      <w:cols w:space="708"/>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2572" w:rsidRDefault="00552572">
      <w:r>
        <w:separator/>
      </w:r>
    </w:p>
  </w:endnote>
  <w:endnote w:type="continuationSeparator" w:id="1">
    <w:p w:rsidR="00552572" w:rsidRDefault="005525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David">
    <w:panose1 w:val="00000000000000000000"/>
    <w:charset w:val="B1"/>
    <w:family w:val="auto"/>
    <w:pitch w:val="variable"/>
    <w:sig w:usb0="00000801" w:usb1="00000000" w:usb2="00000000" w:usb3="00000000" w:csb0="00000020" w:csb1="00000000"/>
  </w:font>
  <w:font w:name="FrankRuehl">
    <w:panose1 w:val="00000000000000000000"/>
    <w:charset w:val="B1"/>
    <w:family w:val="auto"/>
    <w:pitch w:val="variable"/>
    <w:sig w:usb0="00000801" w:usb1="00000000" w:usb2="00000000" w:usb3="00000000" w:csb0="00000020" w:csb1="00000000"/>
  </w:font>
  <w:font w:name="Arial TUR">
    <w:charset w:val="00"/>
    <w:family w:val="swiss"/>
    <w:pitch w:val="variable"/>
    <w:sig w:usb0="20002A87" w:usb1="80000000" w:usb2="00000008" w:usb3="00000000" w:csb0="000001FF" w:csb1="00000000"/>
  </w:font>
  <w:font w:name="DavidFix">
    <w:altName w:val="Times New Roman"/>
    <w:panose1 w:val="00000000000000000000"/>
    <w:charset w:val="00"/>
    <w:family w:val="roman"/>
    <w:notTrueType/>
    <w:pitch w:val="default"/>
    <w:sig w:usb0="00000000" w:usb1="00000000" w:usb2="00000000" w:usb3="00000000" w:csb0="00000000" w:csb1="00000000"/>
  </w:font>
  <w:font w:name="Guttman Yad">
    <w:panose1 w:val="02010401010101010101"/>
    <w:charset w:val="B1"/>
    <w:family w:val="auto"/>
    <w:pitch w:val="variable"/>
    <w:sig w:usb0="00000801" w:usb1="40000000" w:usb2="00000000" w:usb3="00000000" w:csb0="00000020" w:csb1="00000000"/>
  </w:font>
  <w:font w:name="Miriam">
    <w:panose1 w:val="00000000000000000000"/>
    <w:charset w:val="B1"/>
    <w:family w:val="auto"/>
    <w:pitch w:val="variable"/>
    <w:sig w:usb0="00000801" w:usb1="00000000" w:usb2="00000000" w:usb3="00000000" w:csb0="0000002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5E3B" w:rsidRDefault="006D5E3B" w:rsidP="006D5E3B">
    <w:pPr>
      <w:pStyle w:val="a4"/>
      <w:jc w:val="center"/>
      <w:rPr>
        <w:rFonts w:ascii="FrankRuehl" w:hAnsi="FrankRuehl" w:cs="FrankRuehl"/>
        <w:sz w:val="24"/>
      </w:rPr>
    </w:pPr>
    <w:r>
      <w:rPr>
        <w:rFonts w:ascii="FrankRuehl" w:hAnsi="FrankRuehl" w:cs="FrankRuehl"/>
        <w:sz w:val="24"/>
        <w:rtl/>
      </w:rPr>
      <w:fldChar w:fldCharType="begin"/>
    </w:r>
    <w:r>
      <w:rPr>
        <w:rFonts w:ascii="FrankRuehl" w:hAnsi="FrankRuehl" w:cs="FrankRuehl"/>
        <w:sz w:val="24"/>
        <w:rtl/>
      </w:rPr>
      <w:instrText xml:space="preserve"> </w:instrText>
    </w:r>
    <w:r>
      <w:rPr>
        <w:rFonts w:ascii="FrankRuehl" w:hAnsi="FrankRuehl" w:cs="FrankRuehl"/>
        <w:sz w:val="24"/>
      </w:rPr>
      <w:instrText>PAGE</w:instrText>
    </w:r>
    <w:r>
      <w:rPr>
        <w:rFonts w:ascii="FrankRuehl" w:hAnsi="FrankRuehl" w:cs="FrankRuehl"/>
        <w:sz w:val="24"/>
        <w:rtl/>
      </w:rPr>
      <w:instrText xml:space="preserve">  \* </w:instrText>
    </w:r>
    <w:r>
      <w:rPr>
        <w:rFonts w:ascii="FrankRuehl" w:hAnsi="FrankRuehl" w:cs="FrankRuehl"/>
        <w:sz w:val="24"/>
      </w:rPr>
      <w:instrText>MERGEFORMAT</w:instrText>
    </w:r>
    <w:r>
      <w:rPr>
        <w:rFonts w:ascii="FrankRuehl" w:hAnsi="FrankRuehl" w:cs="FrankRuehl"/>
        <w:sz w:val="24"/>
        <w:rtl/>
      </w:rPr>
      <w:instrText xml:space="preserve"> </w:instrText>
    </w:r>
    <w:r>
      <w:rPr>
        <w:rFonts w:ascii="FrankRuehl" w:hAnsi="FrankRuehl" w:cs="FrankRuehl"/>
        <w:sz w:val="24"/>
        <w:rtl/>
      </w:rPr>
      <w:fldChar w:fldCharType="separate"/>
    </w:r>
    <w:r>
      <w:rPr>
        <w:rFonts w:ascii="FrankRuehl" w:hAnsi="FrankRuehl" w:cs="FrankRuehl"/>
        <w:noProof/>
        <w:sz w:val="24"/>
        <w:rtl/>
      </w:rPr>
      <w:t>12</w:t>
    </w:r>
    <w:r>
      <w:rPr>
        <w:rFonts w:ascii="FrankRuehl" w:hAnsi="FrankRuehl" w:cs="FrankRuehl"/>
        <w:sz w:val="24"/>
        <w:rtl/>
      </w:rPr>
      <w:fldChar w:fldCharType="end"/>
    </w:r>
  </w:p>
  <w:p w:rsidR="006D5E3B" w:rsidRPr="006D5E3B" w:rsidRDefault="003E5029" w:rsidP="006D5E3B">
    <w:pPr>
      <w:pStyle w:val="a4"/>
      <w:pBdr>
        <w:top w:val="single" w:sz="4" w:space="1" w:color="auto"/>
        <w:between w:val="single" w:sz="4" w:space="0" w:color="auto"/>
      </w:pBdr>
      <w:spacing w:after="60"/>
      <w:jc w:val="center"/>
      <w:rPr>
        <w:rFonts w:ascii="FrankRuehl" w:hAnsi="FrankRuehl" w:cs="FrankRuehl"/>
        <w:color w:val="000000"/>
        <w:sz w:val="24"/>
      </w:rPr>
    </w:pPr>
    <w:r>
      <w:rPr>
        <w:rFonts w:ascii="FrankRuehl" w:hAnsi="FrankRuehl" w:cs="FrankRuehl"/>
        <w:noProof/>
        <w:color w:val="000000"/>
        <w:sz w:val="24"/>
      </w:rPr>
      <w:drawing>
        <wp:inline distT="0" distB="0" distL="0" distR="0">
          <wp:extent cx="552450" cy="228600"/>
          <wp:effectExtent l="19050" t="0" r="0" b="0"/>
          <wp:docPr id="1" name="תמונה 1" descr="Nevo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vologo2"/>
                  <pic:cNvPicPr>
                    <a:picLocks noChangeAspect="1" noChangeArrowheads="1"/>
                  </pic:cNvPicPr>
                </pic:nvPicPr>
                <pic:blipFill>
                  <a:blip r:embed="rId1"/>
                  <a:srcRect/>
                  <a:stretch>
                    <a:fillRect/>
                  </a:stretch>
                </pic:blipFill>
                <pic:spPr bwMode="auto">
                  <a:xfrm>
                    <a:off x="0" y="0"/>
                    <a:ext cx="552450" cy="228600"/>
                  </a:xfrm>
                  <a:prstGeom prst="rect">
                    <a:avLst/>
                  </a:prstGeom>
                  <a:noFill/>
                  <a:ln w="9525">
                    <a:noFill/>
                    <a:miter lim="800000"/>
                    <a:headEnd/>
                    <a:tailEnd/>
                  </a:ln>
                </pic:spPr>
              </pic:pic>
            </a:graphicData>
          </a:graphic>
        </wp:inline>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5E3B" w:rsidRDefault="006D5E3B" w:rsidP="006D5E3B">
    <w:pPr>
      <w:pStyle w:val="a4"/>
      <w:jc w:val="center"/>
      <w:rPr>
        <w:rFonts w:ascii="FrankRuehl" w:hAnsi="FrankRuehl" w:cs="FrankRuehl"/>
        <w:sz w:val="24"/>
      </w:rPr>
    </w:pPr>
    <w:r>
      <w:rPr>
        <w:rFonts w:ascii="FrankRuehl" w:hAnsi="FrankRuehl" w:cs="FrankRuehl"/>
        <w:sz w:val="24"/>
        <w:rtl/>
      </w:rPr>
      <w:fldChar w:fldCharType="begin"/>
    </w:r>
    <w:r>
      <w:rPr>
        <w:rFonts w:ascii="FrankRuehl" w:hAnsi="FrankRuehl" w:cs="FrankRuehl"/>
        <w:sz w:val="24"/>
        <w:rtl/>
      </w:rPr>
      <w:instrText xml:space="preserve"> </w:instrText>
    </w:r>
    <w:r>
      <w:rPr>
        <w:rFonts w:ascii="FrankRuehl" w:hAnsi="FrankRuehl" w:cs="FrankRuehl"/>
        <w:sz w:val="24"/>
      </w:rPr>
      <w:instrText>PAGE</w:instrText>
    </w:r>
    <w:r>
      <w:rPr>
        <w:rFonts w:ascii="FrankRuehl" w:hAnsi="FrankRuehl" w:cs="FrankRuehl"/>
        <w:sz w:val="24"/>
        <w:rtl/>
      </w:rPr>
      <w:instrText xml:space="preserve">  \* </w:instrText>
    </w:r>
    <w:r>
      <w:rPr>
        <w:rFonts w:ascii="FrankRuehl" w:hAnsi="FrankRuehl" w:cs="FrankRuehl"/>
        <w:sz w:val="24"/>
      </w:rPr>
      <w:instrText>MERGEFORMAT</w:instrText>
    </w:r>
    <w:r>
      <w:rPr>
        <w:rFonts w:ascii="FrankRuehl" w:hAnsi="FrankRuehl" w:cs="FrankRuehl"/>
        <w:sz w:val="24"/>
        <w:rtl/>
      </w:rPr>
      <w:instrText xml:space="preserve"> </w:instrText>
    </w:r>
    <w:r>
      <w:rPr>
        <w:rFonts w:ascii="FrankRuehl" w:hAnsi="FrankRuehl" w:cs="FrankRuehl"/>
        <w:sz w:val="24"/>
        <w:rtl/>
      </w:rPr>
      <w:fldChar w:fldCharType="separate"/>
    </w:r>
    <w:r w:rsidR="003E5029">
      <w:rPr>
        <w:rFonts w:ascii="FrankRuehl" w:hAnsi="FrankRuehl" w:cs="FrankRuehl"/>
        <w:noProof/>
        <w:sz w:val="24"/>
        <w:rtl/>
      </w:rPr>
      <w:t>1</w:t>
    </w:r>
    <w:r>
      <w:rPr>
        <w:rFonts w:ascii="FrankRuehl" w:hAnsi="FrankRuehl" w:cs="FrankRuehl"/>
        <w:sz w:val="24"/>
        <w:rtl/>
      </w:rPr>
      <w:fldChar w:fldCharType="end"/>
    </w:r>
  </w:p>
  <w:p w:rsidR="006D5E3B" w:rsidRPr="006D5E3B" w:rsidRDefault="003E5029" w:rsidP="006D5E3B">
    <w:pPr>
      <w:pStyle w:val="a4"/>
      <w:pBdr>
        <w:top w:val="single" w:sz="4" w:space="1" w:color="auto"/>
        <w:between w:val="single" w:sz="4" w:space="0" w:color="auto"/>
      </w:pBdr>
      <w:spacing w:after="60"/>
      <w:jc w:val="center"/>
      <w:rPr>
        <w:rFonts w:ascii="FrankRuehl" w:hAnsi="FrankRuehl" w:cs="FrankRuehl"/>
        <w:color w:val="000000"/>
        <w:sz w:val="24"/>
      </w:rPr>
    </w:pPr>
    <w:r>
      <w:rPr>
        <w:rFonts w:ascii="FrankRuehl" w:hAnsi="FrankRuehl" w:cs="FrankRuehl"/>
        <w:noProof/>
        <w:color w:val="000000"/>
        <w:sz w:val="24"/>
      </w:rPr>
      <w:drawing>
        <wp:inline distT="0" distB="0" distL="0" distR="0">
          <wp:extent cx="552450" cy="228600"/>
          <wp:effectExtent l="19050" t="0" r="0" b="0"/>
          <wp:docPr id="2" name="תמונה 2" descr="Nevo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vologo2"/>
                  <pic:cNvPicPr>
                    <a:picLocks noChangeAspect="1" noChangeArrowheads="1"/>
                  </pic:cNvPicPr>
                </pic:nvPicPr>
                <pic:blipFill>
                  <a:blip r:embed="rId1"/>
                  <a:srcRect/>
                  <a:stretch>
                    <a:fillRect/>
                  </a:stretch>
                </pic:blipFill>
                <pic:spPr bwMode="auto">
                  <a:xfrm>
                    <a:off x="0" y="0"/>
                    <a:ext cx="552450" cy="228600"/>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2572" w:rsidRDefault="00552572">
      <w:r>
        <w:separator/>
      </w:r>
    </w:p>
  </w:footnote>
  <w:footnote w:type="continuationSeparator" w:id="1">
    <w:p w:rsidR="00552572" w:rsidRDefault="005525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5E3B" w:rsidRPr="006D5E3B" w:rsidRDefault="006D5E3B" w:rsidP="006D5E3B">
    <w:pPr>
      <w:pStyle w:val="a3"/>
      <w:pBdr>
        <w:bottom w:val="single" w:sz="4" w:space="1" w:color="auto"/>
      </w:pBdr>
      <w:tabs>
        <w:tab w:val="clear" w:pos="4153"/>
        <w:tab w:val="clear" w:pos="8306"/>
        <w:tab w:val="right" w:pos="8311"/>
      </w:tabs>
      <w:spacing w:line="220" w:lineRule="exact"/>
      <w:rPr>
        <w:rFonts w:ascii="David" w:hAnsi="David"/>
        <w:color w:val="000000"/>
        <w:sz w:val="22"/>
        <w:szCs w:val="22"/>
        <w:rtl/>
      </w:rPr>
    </w:pPr>
    <w:r>
      <w:rPr>
        <w:rFonts w:ascii="David" w:hAnsi="David"/>
        <w:color w:val="000000"/>
        <w:sz w:val="22"/>
        <w:szCs w:val="22"/>
        <w:rtl/>
      </w:rPr>
      <w:t xml:space="preserve">עעמ 2131/12 </w:t>
    </w:r>
    <w:r>
      <w:rPr>
        <w:rFonts w:ascii="David" w:hAnsi="David"/>
        <w:color w:val="000000"/>
        <w:sz w:val="22"/>
        <w:szCs w:val="22"/>
        <w:rtl/>
      </w:rPr>
      <w:tab/>
      <w:t xml:space="preserve"> רוני טל [טוקוולי] נ' ועדת ערר המחוזית ת''א</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5E3B" w:rsidRPr="006D5E3B" w:rsidRDefault="006D5E3B" w:rsidP="006D5E3B">
    <w:pPr>
      <w:pStyle w:val="a3"/>
      <w:pBdr>
        <w:bottom w:val="single" w:sz="4" w:space="1" w:color="auto"/>
      </w:pBdr>
      <w:tabs>
        <w:tab w:val="clear" w:pos="4153"/>
        <w:tab w:val="clear" w:pos="8306"/>
        <w:tab w:val="right" w:pos="8311"/>
      </w:tabs>
      <w:spacing w:line="220" w:lineRule="exact"/>
      <w:rPr>
        <w:rFonts w:ascii="David" w:hAnsi="David"/>
        <w:color w:val="000000"/>
        <w:sz w:val="22"/>
        <w:szCs w:val="22"/>
        <w:rtl/>
      </w:rPr>
    </w:pPr>
    <w:r>
      <w:rPr>
        <w:rFonts w:ascii="David" w:hAnsi="David"/>
        <w:color w:val="000000"/>
        <w:sz w:val="22"/>
        <w:szCs w:val="22"/>
        <w:rtl/>
      </w:rPr>
      <w:t xml:space="preserve">עעמ 2131/12 </w:t>
    </w:r>
    <w:r>
      <w:rPr>
        <w:rFonts w:ascii="David" w:hAnsi="David"/>
        <w:color w:val="000000"/>
        <w:sz w:val="22"/>
        <w:szCs w:val="22"/>
        <w:rtl/>
      </w:rPr>
      <w:tab/>
      <w:t xml:space="preserve"> רוני טל [טוקוולי] נ' ועדת ערר המחוזית ת''א</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attachedTemplate r:id="rId1"/>
  <w:stylePaneFormatFilter w:val="3F01"/>
  <w:defaultTabStop w:val="720"/>
  <w:drawingGridHorizontalSpacing w:val="100"/>
  <w:drawingGridVerticalSpacing w:val="0"/>
  <w:displayHorizontalDrawingGridEvery w:val="2"/>
  <w:displayVerticalDrawingGridEvery w:val="0"/>
  <w:doNotShadeFormData/>
  <w:noPunctuationKerning/>
  <w:characterSpacingControl w:val="doNotCompress"/>
  <w:footnotePr>
    <w:footnote w:id="0"/>
    <w:footnote w:id="1"/>
  </w:footnotePr>
  <w:endnotePr>
    <w:numFmt w:val="lowerLetter"/>
    <w:endnote w:id="0"/>
    <w:endnote w:id="1"/>
  </w:endnotePr>
  <w:compat>
    <w:spaceForUL/>
    <w:balanceSingleByteDoubleByteWidth/>
    <w:doNotLeaveBackslashAlone/>
    <w:ulTrailSpace/>
    <w:doNotExpandShiftReturn/>
  </w:compat>
  <w:docVars>
    <w:docVar w:name="MyInfo" w:val="This document was extracted from Nevo's site"/>
  </w:docVars>
  <w:rsids>
    <w:rsidRoot w:val="0060249E"/>
    <w:rsid w:val="00123008"/>
    <w:rsid w:val="002B432E"/>
    <w:rsid w:val="003E5029"/>
    <w:rsid w:val="00552572"/>
    <w:rsid w:val="0060249E"/>
    <w:rsid w:val="00665961"/>
    <w:rsid w:val="006D5E3B"/>
    <w:rsid w:val="0091755B"/>
    <w:rsid w:val="00B7061A"/>
    <w:rsid w:val="00B727BD"/>
    <w:rsid w:val="00E55778"/>
    <w:rsid w:val="00FE30BD"/>
  </w:rsids>
  <m:mathPr>
    <m:mathFont m:val="Cambria Math"/>
    <m:brkBin m:val="before"/>
    <m:brkBinSub m:val="--"/>
    <m:smallFrac m:val="off"/>
    <m:dispDef/>
    <m:lMargin m:val="0"/>
    <m:rMargin m:val="0"/>
    <m:defJc m:val="centerGroup"/>
    <m:wrapIndent m:val="1440"/>
    <m:intLim m:val="subSup"/>
    <m:naryLim m:val="undOvr"/>
  </m:mathPr>
  <w:attachedSchema w:val="http://schemas.microsoft.com/office/2004/12/omml"/>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overflowPunct w:val="0"/>
      <w:autoSpaceDE w:val="0"/>
      <w:autoSpaceDN w:val="0"/>
      <w:bidi/>
      <w:adjustRightInd w:val="0"/>
    </w:pPr>
    <w:rPr>
      <w:rFonts w:cs="David"/>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Hyperlink">
    <w:name w:val="Hyperlink"/>
    <w:rPr>
      <w:color w:val="0000FF"/>
      <w:u w:val="single"/>
    </w:rPr>
  </w:style>
  <w:style w:type="character" w:styleId="FollowedHyperlink">
    <w:name w:val="FollowedHyperlink"/>
    <w:rPr>
      <w:color w:val="800080"/>
      <w:u w:val="single"/>
    </w:rPr>
  </w:style>
  <w:style w:type="paragraph" w:styleId="a3">
    <w:name w:val="header"/>
    <w:basedOn w:val="a"/>
    <w:pPr>
      <w:tabs>
        <w:tab w:val="center" w:pos="4153"/>
        <w:tab w:val="right" w:pos="8306"/>
      </w:tabs>
    </w:pPr>
  </w:style>
  <w:style w:type="paragraph" w:styleId="a4">
    <w:name w:val="footer"/>
    <w:basedOn w:val="a"/>
    <w:pPr>
      <w:tabs>
        <w:tab w:val="center" w:pos="4153"/>
        <w:tab w:val="right" w:pos="8306"/>
      </w:tabs>
    </w:pPr>
  </w:style>
  <w:style w:type="paragraph" w:customStyle="1" w:styleId="Ruller3">
    <w:name w:val="Ruller 3"/>
    <w:basedOn w:val="a"/>
    <w:pPr>
      <w:tabs>
        <w:tab w:val="left" w:pos="3210"/>
        <w:tab w:val="left" w:pos="6753"/>
      </w:tabs>
      <w:spacing w:line="360" w:lineRule="auto"/>
    </w:pPr>
    <w:rPr>
      <w:rFonts w:cs="FrankRuehl"/>
      <w:spacing w:val="10"/>
      <w:sz w:val="22"/>
      <w:szCs w:val="28"/>
    </w:rPr>
  </w:style>
  <w:style w:type="paragraph" w:customStyle="1" w:styleId="Pskdinhead">
    <w:name w:val="Pskdin head"/>
    <w:basedOn w:val="a"/>
    <w:pPr>
      <w:spacing w:line="360" w:lineRule="auto"/>
    </w:pPr>
    <w:rPr>
      <w:b/>
      <w:bCs/>
      <w:u w:val="single"/>
    </w:rPr>
  </w:style>
  <w:style w:type="paragraph" w:customStyle="1" w:styleId="FileNumber">
    <w:name w:val="File Number"/>
    <w:basedOn w:val="a"/>
    <w:pPr>
      <w:spacing w:line="360" w:lineRule="auto"/>
      <w:jc w:val="right"/>
    </w:pPr>
    <w:rPr>
      <w:bCs/>
    </w:rPr>
  </w:style>
  <w:style w:type="paragraph" w:customStyle="1" w:styleId="FirstpagestylePsakdin">
    <w:name w:val="First page style Psak din"/>
    <w:basedOn w:val="Ruller3"/>
    <w:pPr>
      <w:tabs>
        <w:tab w:val="clear" w:pos="3210"/>
        <w:tab w:val="left" w:pos="3209"/>
      </w:tabs>
    </w:pPr>
    <w:rPr>
      <w:bCs/>
    </w:rPr>
  </w:style>
  <w:style w:type="paragraph" w:customStyle="1" w:styleId="TyutaDate">
    <w:name w:val="Tyuta Date"/>
    <w:basedOn w:val="a"/>
    <w:pPr>
      <w:jc w:val="center"/>
    </w:pPr>
    <w:rPr>
      <w:b/>
      <w:bCs/>
      <w:i/>
      <w:iCs/>
      <w:sz w:val="28"/>
      <w:szCs w:val="28"/>
    </w:rPr>
  </w:style>
  <w:style w:type="paragraph" w:customStyle="1" w:styleId="DocumentHead">
    <w:name w:val="Document Head"/>
    <w:basedOn w:val="a"/>
    <w:pPr>
      <w:spacing w:line="360" w:lineRule="auto"/>
      <w:jc w:val="center"/>
    </w:pPr>
    <w:rPr>
      <w:bCs/>
      <w:spacing w:val="30"/>
      <w:szCs w:val="28"/>
      <w:u w:val="single"/>
    </w:rPr>
  </w:style>
  <w:style w:type="paragraph" w:customStyle="1" w:styleId="TfutzaList">
    <w:name w:val="Tfutza List"/>
    <w:basedOn w:val="a"/>
    <w:rPr>
      <w:i/>
      <w:iCs/>
    </w:rPr>
  </w:style>
  <w:style w:type="character" w:customStyle="1" w:styleId="Ruller4">
    <w:name w:val="Ruller4 תו"/>
    <w:link w:val="Ruller40"/>
    <w:locked/>
    <w:rPr>
      <w:rFonts w:ascii="Arial TUR" w:hAnsi="Arial TUR" w:cs="FrankRuehl" w:hint="default"/>
      <w:spacing w:val="10"/>
      <w:sz w:val="22"/>
      <w:szCs w:val="28"/>
      <w:lang w:val="en-US" w:eastAsia="en-US" w:bidi="he-IL"/>
    </w:rPr>
  </w:style>
  <w:style w:type="paragraph" w:customStyle="1" w:styleId="Ruller40">
    <w:name w:val="Ruller4"/>
    <w:basedOn w:val="a"/>
    <w:link w:val="Ruller4"/>
    <w:pPr>
      <w:tabs>
        <w:tab w:val="left" w:pos="800"/>
      </w:tabs>
      <w:spacing w:line="360" w:lineRule="auto"/>
      <w:jc w:val="both"/>
    </w:pPr>
    <w:rPr>
      <w:rFonts w:ascii="Arial TUR" w:hAnsi="Arial TUR" w:cs="FrankRuehl"/>
      <w:spacing w:val="10"/>
      <w:sz w:val="22"/>
      <w:szCs w:val="28"/>
    </w:rPr>
  </w:style>
  <w:style w:type="paragraph" w:customStyle="1" w:styleId="Ruller5">
    <w:name w:val="Ruller5"/>
    <w:basedOn w:val="a"/>
    <w:pPr>
      <w:ind w:left="1642" w:right="1282"/>
      <w:jc w:val="both"/>
    </w:pPr>
    <w:rPr>
      <w:rFonts w:ascii="Arial TUR" w:hAnsi="Arial TUR" w:cs="FrankRuehl"/>
      <w:spacing w:val="10"/>
      <w:sz w:val="22"/>
      <w:szCs w:val="28"/>
    </w:rPr>
  </w:style>
  <w:style w:type="paragraph" w:customStyle="1" w:styleId="Ruller6">
    <w:name w:val="Ruller6"/>
    <w:basedOn w:val="a"/>
    <w:pPr>
      <w:tabs>
        <w:tab w:val="left" w:pos="794"/>
        <w:tab w:val="left" w:pos="2268"/>
        <w:tab w:val="left" w:pos="5783"/>
        <w:tab w:val="left" w:pos="7371"/>
      </w:tabs>
    </w:pPr>
    <w:rPr>
      <w:rFonts w:ascii="Arial TUR" w:hAnsi="Arial TUR" w:cs="DavidFix"/>
      <w:spacing w:val="10"/>
      <w:sz w:val="22"/>
      <w:szCs w:val="20"/>
    </w:rPr>
  </w:style>
  <w:style w:type="paragraph" w:customStyle="1" w:styleId="WriterName">
    <w:name w:val="Writer Name"/>
    <w:basedOn w:val="Ruller40"/>
    <w:next w:val="Ruller40"/>
    <w:rPr>
      <w:rFonts w:cs="David"/>
      <w:b/>
      <w:bCs/>
      <w:u w:val="single"/>
    </w:rPr>
  </w:style>
  <w:style w:type="paragraph" w:customStyle="1" w:styleId="2">
    <w:name w:val="ñâðåï2"/>
    <w:basedOn w:val="a"/>
    <w:pPr>
      <w:overflowPunct/>
    </w:pPr>
    <w:rPr>
      <w:rFonts w:cs="Times New Roman"/>
    </w:rPr>
  </w:style>
  <w:style w:type="paragraph" w:customStyle="1" w:styleId="Casenameintextbody">
    <w:name w:val="Case name in text body"/>
    <w:basedOn w:val="a"/>
    <w:pPr>
      <w:overflowPunct/>
      <w:jc w:val="right"/>
    </w:pPr>
    <w:rPr>
      <w:rFonts w:cs="Times New Roman"/>
      <w:b/>
      <w:bCs/>
      <w:u w:val="single"/>
    </w:rPr>
  </w:style>
  <w:style w:type="paragraph" w:customStyle="1" w:styleId="precasestyle">
    <w:name w:val="pre_case style"/>
    <w:basedOn w:val="a"/>
    <w:pPr>
      <w:tabs>
        <w:tab w:val="left" w:pos="2552"/>
      </w:tabs>
      <w:overflowPunct/>
      <w:ind w:right="2549"/>
    </w:pPr>
    <w:rPr>
      <w:rFonts w:cs="Times New Roman"/>
    </w:rPr>
  </w:style>
  <w:style w:type="paragraph" w:customStyle="1" w:styleId="BodyRuller">
    <w:name w:val="Body Ruller"/>
    <w:basedOn w:val="a"/>
    <w:rPr>
      <w:sz w:val="22"/>
      <w:szCs w:val="28"/>
    </w:rPr>
  </w:style>
  <w:style w:type="paragraph" w:customStyle="1" w:styleId="Ruller38">
    <w:name w:val="סגנון Ruller 3 + (מורכב) ‏8 נק"/>
    <w:basedOn w:val="BodyRuller"/>
    <w:rPr>
      <w:szCs w:val="16"/>
    </w:rPr>
  </w:style>
  <w:style w:type="paragraph" w:customStyle="1" w:styleId="FileNumber0">
    <w:name w:val="סגנון File Number + ימין"/>
    <w:basedOn w:val="FileNumber"/>
    <w:pPr>
      <w:jc w:val="left"/>
    </w:pPr>
    <w:rPr>
      <w:szCs w:val="28"/>
    </w:rPr>
  </w:style>
  <w:style w:type="paragraph" w:customStyle="1" w:styleId="BODYVERDICT">
    <w:name w:val="BODY VERDICT"/>
    <w:basedOn w:val="a"/>
    <w:rPr>
      <w:rFonts w:cs="FrankRuehl"/>
      <w:spacing w:val="10"/>
      <w:sz w:val="22"/>
      <w:szCs w:val="28"/>
    </w:rPr>
  </w:style>
  <w:style w:type="character" w:customStyle="1" w:styleId="Delete">
    <w:name w:val="Delete"/>
    <w:rPr>
      <w:strike/>
    </w:rPr>
  </w:style>
  <w:style w:type="character" w:customStyle="1" w:styleId="Hand">
    <w:name w:val="Hand"/>
    <w:rPr>
      <w:rFonts w:cs="Guttman Yad" w:hint="cs"/>
    </w:rPr>
  </w:style>
  <w:style w:type="character" w:customStyle="1" w:styleId="Ruller30">
    <w:name w:val="Ruller 3 תו"/>
    <w:rPr>
      <w:rFonts w:cs="FrankRuehl" w:hint="cs"/>
      <w:sz w:val="22"/>
      <w:szCs w:val="28"/>
      <w:lang w:val="en-US" w:eastAsia="en-US" w:bidi="he-IL"/>
    </w:rPr>
  </w:style>
  <w:style w:type="character" w:customStyle="1" w:styleId="BodyRuller0">
    <w:name w:val="Body Ruller תו"/>
    <w:rPr>
      <w:rFonts w:cs="David" w:hint="cs"/>
      <w:sz w:val="22"/>
      <w:szCs w:val="28"/>
      <w:lang w:val="en-US" w:eastAsia="en-US" w:bidi="he-IL"/>
    </w:rPr>
  </w:style>
  <w:style w:type="character" w:customStyle="1" w:styleId="Ruller380">
    <w:name w:val="סגנון Ruller 3 + (מורכב) ‏8 נק תו"/>
    <w:rPr>
      <w:rFonts w:cs="David" w:hint="cs"/>
      <w:sz w:val="22"/>
      <w:szCs w:val="16"/>
      <w:lang w:val="en-US" w:eastAsia="en-US" w:bidi="he-IL"/>
    </w:rPr>
  </w:style>
  <w:style w:type="table" w:customStyle="1" w:styleId="1">
    <w:name w:val="טבלה רגילה1"/>
    <w:semiHidden/>
    <w:tblPr>
      <w:tblCellMar>
        <w:top w:w="0" w:type="dxa"/>
        <w:left w:w="108" w:type="dxa"/>
        <w:bottom w:w="0" w:type="dxa"/>
        <w:right w:w="108" w:type="dxa"/>
      </w:tblCellMar>
    </w:tblPr>
  </w:style>
  <w:style w:type="table" w:customStyle="1" w:styleId="10">
    <w:name w:val="טבלת רשת1"/>
    <w:basedOn w:val="a1"/>
    <w:pPr>
      <w:overflowPunct w:val="0"/>
      <w:autoSpaceDE w:val="0"/>
      <w:autoSpaceDN w:val="0"/>
      <w:adjustRightInd w:val="0"/>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page number"/>
    <w:basedOn w:val="a0"/>
    <w:rsid w:val="006D5E3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evo.co.il/law/91073/151.b" TargetMode="External"/><Relationship Id="rId18" Type="http://schemas.openxmlformats.org/officeDocument/2006/relationships/hyperlink" Target="http://www.nevo.co.il/law/74849/30" TargetMode="External"/><Relationship Id="rId26" Type="http://schemas.openxmlformats.org/officeDocument/2006/relationships/hyperlink" Target="http://www.nevo.co.il/links/psika/?link=&#1514;&#1488;%205231/10" TargetMode="External"/><Relationship Id="rId39" Type="http://schemas.openxmlformats.org/officeDocument/2006/relationships/hyperlink" Target="http://www.nevo.co.il/links/psika/?link=&#1506;&#1506;&#1502;%209168/05" TargetMode="External"/><Relationship Id="rId21" Type="http://schemas.openxmlformats.org/officeDocument/2006/relationships/hyperlink" Target="http://www.nevo.co.il/law/74683/2.10" TargetMode="External"/><Relationship Id="rId34" Type="http://schemas.openxmlformats.org/officeDocument/2006/relationships/hyperlink" Target="http://www.nevo.co.il/law/91073" TargetMode="External"/><Relationship Id="rId42" Type="http://schemas.openxmlformats.org/officeDocument/2006/relationships/hyperlink" Target="http://www.nevo.co.il/links/psika/?link=&#1489;&#1490;&#1509;%2010242/03&amp;Pvol=&#1504;&#1495;" TargetMode="External"/><Relationship Id="rId47" Type="http://schemas.openxmlformats.org/officeDocument/2006/relationships/hyperlink" Target="http://www.nevo.co.il/links/psika/?link=&#1489;&#1490;&#1509;%201003/03" TargetMode="External"/><Relationship Id="rId50" Type="http://schemas.openxmlformats.org/officeDocument/2006/relationships/hyperlink" Target="http://www.nevo.co.il/law/91073/152.d" TargetMode="External"/><Relationship Id="rId55" Type="http://schemas.openxmlformats.org/officeDocument/2006/relationships/hyperlink" Target="http://www.nevo.co.il/law/91073" TargetMode="External"/><Relationship Id="rId63" Type="http://schemas.openxmlformats.org/officeDocument/2006/relationships/hyperlink" Target="http://www.nevo.co.il/links/psika/?link=&#1506;&#1488;%206291/95" TargetMode="External"/><Relationship Id="rId68" Type="http://schemas.openxmlformats.org/officeDocument/2006/relationships/hyperlink" Target="http://www.nevo.co.il/links/psika/?link=&#1506;&#1506;&#1502;%209168/05" TargetMode="External"/><Relationship Id="rId76" Type="http://schemas.openxmlformats.org/officeDocument/2006/relationships/hyperlink" Target="http://www.nevo.co.il/advertisements/nevo-100.doc" TargetMode="External"/><Relationship Id="rId7" Type="http://schemas.openxmlformats.org/officeDocument/2006/relationships/hyperlink" Target="http://www.nevo.co.il/law/91073" TargetMode="External"/><Relationship Id="rId71" Type="http://schemas.openxmlformats.org/officeDocument/2006/relationships/hyperlink" Target="http://www.nevo.co.il/links/psika/?link=&#1489;&#1490;&#1509;%20640/78&amp;Pvol=&#1500;&#1491;" TargetMode="External"/><Relationship Id="rId2" Type="http://schemas.openxmlformats.org/officeDocument/2006/relationships/settings" Target="settings.xml"/><Relationship Id="rId16" Type="http://schemas.openxmlformats.org/officeDocument/2006/relationships/hyperlink" Target="http://www.nevo.co.il/law/91073/210" TargetMode="External"/><Relationship Id="rId29" Type="http://schemas.openxmlformats.org/officeDocument/2006/relationships/hyperlink" Target="http://www.nevo.co.il/law/91073" TargetMode="External"/><Relationship Id="rId11" Type="http://schemas.openxmlformats.org/officeDocument/2006/relationships/hyperlink" Target="http://www.nevo.co.il/law/91073/147" TargetMode="External"/><Relationship Id="rId24" Type="http://schemas.openxmlformats.org/officeDocument/2006/relationships/hyperlink" Target="http://www.nevo.co.il/law/91073" TargetMode="External"/><Relationship Id="rId32" Type="http://schemas.openxmlformats.org/officeDocument/2006/relationships/hyperlink" Target="http://www.nevo.co.il/law/91073/210" TargetMode="External"/><Relationship Id="rId37" Type="http://schemas.openxmlformats.org/officeDocument/2006/relationships/hyperlink" Target="http://www.nevo.co.il/law/74683/2.10" TargetMode="External"/><Relationship Id="rId40" Type="http://schemas.openxmlformats.org/officeDocument/2006/relationships/hyperlink" Target="http://www.nevo.co.il/links/psika/?link=&#1506;&#1506;&#1502;%203478/07" TargetMode="External"/><Relationship Id="rId45" Type="http://schemas.openxmlformats.org/officeDocument/2006/relationships/hyperlink" Target="http://www.nevo.co.il/links/psika/?link=&#1506;&#1506;&#1502;%202273/03" TargetMode="External"/><Relationship Id="rId53" Type="http://schemas.openxmlformats.org/officeDocument/2006/relationships/hyperlink" Target="http://www.nevo.co.il/law/91073" TargetMode="External"/><Relationship Id="rId58" Type="http://schemas.openxmlformats.org/officeDocument/2006/relationships/hyperlink" Target="http://www.nevo.co.il/law/91073/151.b" TargetMode="External"/><Relationship Id="rId66" Type="http://schemas.openxmlformats.org/officeDocument/2006/relationships/hyperlink" Target="http://www.nevo.co.il/links/psika/?link=&#1506;&#1488;%202413/06" TargetMode="External"/><Relationship Id="rId74" Type="http://schemas.openxmlformats.org/officeDocument/2006/relationships/hyperlink" Target="http://www.nevo.co.il/law/74849" TargetMode="External"/><Relationship Id="rId79" Type="http://schemas.openxmlformats.org/officeDocument/2006/relationships/footer" Target="footer1.xml"/><Relationship Id="rId5" Type="http://schemas.openxmlformats.org/officeDocument/2006/relationships/endnotes" Target="endnotes.xml"/><Relationship Id="rId61" Type="http://schemas.openxmlformats.org/officeDocument/2006/relationships/hyperlink" Target="http://www.nevo.co.il/law/74683/6.a" TargetMode="External"/><Relationship Id="rId82" Type="http://schemas.openxmlformats.org/officeDocument/2006/relationships/theme" Target="theme/theme1.xml"/><Relationship Id="rId10" Type="http://schemas.openxmlformats.org/officeDocument/2006/relationships/hyperlink" Target="http://www.nevo.co.il/law/91073/145" TargetMode="External"/><Relationship Id="rId19" Type="http://schemas.openxmlformats.org/officeDocument/2006/relationships/hyperlink" Target="http://www.nevo.co.il/law/74683" TargetMode="External"/><Relationship Id="rId31" Type="http://schemas.openxmlformats.org/officeDocument/2006/relationships/hyperlink" Target="http://www.nevo.co.il/links/psika/?link=&#1512;&#1506;&#1508;%201601/11" TargetMode="External"/><Relationship Id="rId44" Type="http://schemas.openxmlformats.org/officeDocument/2006/relationships/hyperlink" Target="http://www.nevo.co.il/links/psika/?link=&#1489;&#1490;&#1509;%203017/05" TargetMode="External"/><Relationship Id="rId52" Type="http://schemas.openxmlformats.org/officeDocument/2006/relationships/hyperlink" Target="http://www.nevo.co.il/law/91073/1" TargetMode="External"/><Relationship Id="rId60" Type="http://schemas.openxmlformats.org/officeDocument/2006/relationships/hyperlink" Target="http://www.nevo.co.il/law/74683/2.10" TargetMode="External"/><Relationship Id="rId65" Type="http://schemas.openxmlformats.org/officeDocument/2006/relationships/hyperlink" Target="http://www.nevo.co.il/links/psika/?link=&#1506;&#1506;&#1502;%204897/06" TargetMode="External"/><Relationship Id="rId73" Type="http://schemas.openxmlformats.org/officeDocument/2006/relationships/hyperlink" Target="http://www.nevo.co.il/law/74849/30" TargetMode="External"/><Relationship Id="rId78" Type="http://schemas.openxmlformats.org/officeDocument/2006/relationships/header" Target="header2.xml"/><Relationship Id="rId81"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nevo.co.il/law/91073/11a.a" TargetMode="External"/><Relationship Id="rId14" Type="http://schemas.openxmlformats.org/officeDocument/2006/relationships/hyperlink" Target="http://www.nevo.co.il/law/91073/152.d" TargetMode="External"/><Relationship Id="rId22" Type="http://schemas.openxmlformats.org/officeDocument/2006/relationships/hyperlink" Target="http://www.nevo.co.il/law/74683/6.a" TargetMode="External"/><Relationship Id="rId27" Type="http://schemas.openxmlformats.org/officeDocument/2006/relationships/hyperlink" Target="http://www.nevo.co.il/law/91073/145" TargetMode="External"/><Relationship Id="rId30" Type="http://schemas.openxmlformats.org/officeDocument/2006/relationships/hyperlink" Target="http://www.nevo.co.il/links/psika/?NEWPROC=&#1506;&#1508;&#1488;&amp;NEWPARTA=32213&amp;NEWPARTB=12&amp;NEWPARTC=09" TargetMode="External"/><Relationship Id="rId35" Type="http://schemas.openxmlformats.org/officeDocument/2006/relationships/hyperlink" Target="http://www.nevo.co.il/links/psika/?link=&#1506;&#1514;&#1502;%203012/14" TargetMode="External"/><Relationship Id="rId43" Type="http://schemas.openxmlformats.org/officeDocument/2006/relationships/hyperlink" Target="http://www.nevo.co.il/links/psika/?link=&#1506;&#1506;&#1502;%209654/06" TargetMode="External"/><Relationship Id="rId48" Type="http://schemas.openxmlformats.org/officeDocument/2006/relationships/hyperlink" Target="http://www.nevo.co.il/law/91073/11a.a" TargetMode="External"/><Relationship Id="rId56" Type="http://schemas.openxmlformats.org/officeDocument/2006/relationships/hyperlink" Target="http://www.nevo.co.il/law/91073/151.a" TargetMode="External"/><Relationship Id="rId64" Type="http://schemas.openxmlformats.org/officeDocument/2006/relationships/hyperlink" Target="http://www.nevo.co.il/links/psika/?link=&#1506;&#1488;%205927/08&amp;Pvol=&#1504;&#1494;" TargetMode="External"/><Relationship Id="rId69" Type="http://schemas.openxmlformats.org/officeDocument/2006/relationships/hyperlink" Target="http://www.nevo.co.il/law/74683/2.10" TargetMode="External"/><Relationship Id="rId77" Type="http://schemas.openxmlformats.org/officeDocument/2006/relationships/header" Target="header1.xml"/><Relationship Id="rId8" Type="http://schemas.openxmlformats.org/officeDocument/2006/relationships/hyperlink" Target="http://www.nevo.co.il/law/91073/1" TargetMode="External"/><Relationship Id="rId51" Type="http://schemas.openxmlformats.org/officeDocument/2006/relationships/hyperlink" Target="http://www.nevo.co.il/law/91073" TargetMode="External"/><Relationship Id="rId72" Type="http://schemas.openxmlformats.org/officeDocument/2006/relationships/hyperlink" Target="http://www.nevo.co.il/links/psika/?link=&#1489;&#1490;&#1509;%20301/69&amp;Pvol=&#1499;&#1491;" TargetMode="External"/><Relationship Id="rId80" Type="http://schemas.openxmlformats.org/officeDocument/2006/relationships/footer" Target="footer2.xml"/><Relationship Id="rId3" Type="http://schemas.openxmlformats.org/officeDocument/2006/relationships/webSettings" Target="webSettings.xml"/><Relationship Id="rId12" Type="http://schemas.openxmlformats.org/officeDocument/2006/relationships/hyperlink" Target="http://www.nevo.co.il/law/91073/151.a" TargetMode="External"/><Relationship Id="rId17" Type="http://schemas.openxmlformats.org/officeDocument/2006/relationships/hyperlink" Target="http://www.nevo.co.il/law/74849" TargetMode="External"/><Relationship Id="rId25" Type="http://schemas.openxmlformats.org/officeDocument/2006/relationships/hyperlink" Target="http://www.nevo.co.il/links/psika/?NEWPROC=&#1506;&#1514;&#1502;&amp;NEWPARTA=31262&amp;NEWPARTB=01&amp;NEWPARTC=11" TargetMode="External"/><Relationship Id="rId33" Type="http://schemas.openxmlformats.org/officeDocument/2006/relationships/hyperlink" Target="http://www.nevo.co.il/law/91073" TargetMode="External"/><Relationship Id="rId38" Type="http://schemas.openxmlformats.org/officeDocument/2006/relationships/hyperlink" Target="http://www.nevo.co.il/law/74683" TargetMode="External"/><Relationship Id="rId46" Type="http://schemas.openxmlformats.org/officeDocument/2006/relationships/hyperlink" Target="http://www.nevo.co.il/links/psika/?link=&#1506;&#1506;&#1502;%204881/08" TargetMode="External"/><Relationship Id="rId59" Type="http://schemas.openxmlformats.org/officeDocument/2006/relationships/hyperlink" Target="http://www.nevo.co.il/law/74683/2" TargetMode="External"/><Relationship Id="rId67" Type="http://schemas.openxmlformats.org/officeDocument/2006/relationships/hyperlink" Target="http://www.nevo.co.il/links/psika/?link=&#1506;&#1506;&#1502;%209168/05" TargetMode="External"/><Relationship Id="rId20" Type="http://schemas.openxmlformats.org/officeDocument/2006/relationships/hyperlink" Target="http://www.nevo.co.il/law/74683/2" TargetMode="External"/><Relationship Id="rId41" Type="http://schemas.openxmlformats.org/officeDocument/2006/relationships/hyperlink" Target="http://www.nevo.co.il/links/psika/?link=&#1489;&#1490;&#1509;%202920/04" TargetMode="External"/><Relationship Id="rId54" Type="http://schemas.openxmlformats.org/officeDocument/2006/relationships/hyperlink" Target="http://www.nevo.co.il/law/91073/147" TargetMode="External"/><Relationship Id="rId62" Type="http://schemas.openxmlformats.org/officeDocument/2006/relationships/hyperlink" Target="http://www.nevo.co.il/links/psika/?link=&#1506;&#1506;&#1502;%208445/06" TargetMode="External"/><Relationship Id="rId70" Type="http://schemas.openxmlformats.org/officeDocument/2006/relationships/hyperlink" Target="http://www.nevo.co.il/links/psika/?link=&#1489;&#1490;&#1509;%20637/89&amp;Pvol=&#1502;&#1493;" TargetMode="External"/><Relationship Id="rId75" Type="http://schemas.openxmlformats.org/officeDocument/2006/relationships/hyperlink" Target="http://www.court.gov.il/" TargetMode="External"/><Relationship Id="rId1" Type="http://schemas.openxmlformats.org/officeDocument/2006/relationships/styles" Target="styles.xml"/><Relationship Id="rId6" Type="http://schemas.openxmlformats.org/officeDocument/2006/relationships/hyperlink" Target="http://www.nevo.co.il/links/psika/?NEWPROC=&#1506;&#1514;&#1502;&amp;NEWPARTA=31262&amp;NEWPARTB=01&amp;NEWPARTC=11" TargetMode="External"/><Relationship Id="rId15" Type="http://schemas.openxmlformats.org/officeDocument/2006/relationships/hyperlink" Target="http://www.nevo.co.il/law/91073/204.a" TargetMode="External"/><Relationship Id="rId23" Type="http://schemas.openxmlformats.org/officeDocument/2006/relationships/hyperlink" Target="http://www.nevo.co.il/law/91073" TargetMode="External"/><Relationship Id="rId28" Type="http://schemas.openxmlformats.org/officeDocument/2006/relationships/hyperlink" Target="http://www.nevo.co.il/law/91073/204.a" TargetMode="External"/><Relationship Id="rId36" Type="http://schemas.openxmlformats.org/officeDocument/2006/relationships/hyperlink" Target="http://www.nevo.co.il/links/psika/?link=&#1506;&#1506;&#1502;%209168/05" TargetMode="External"/><Relationship Id="rId49" Type="http://schemas.openxmlformats.org/officeDocument/2006/relationships/hyperlink" Target="http://www.nevo.co.il/law/91073" TargetMode="External"/><Relationship Id="rId57" Type="http://schemas.openxmlformats.org/officeDocument/2006/relationships/hyperlink" Target="http://www.nevo.co.il/law/91073"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12021310.I17.doc"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12021310.I17</Template>
  <TotalTime>1</TotalTime>
  <Pages>21</Pages>
  <Words>6556</Words>
  <Characters>32782</Characters>
  <Application>Microsoft Office Word</Application>
  <DocSecurity>0</DocSecurity>
  <Lines>273</Lines>
  <Paragraphs>78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nevo.co.il</vt:lpstr>
      <vt:lpstr>nevo.co.il</vt:lpstr>
    </vt:vector>
  </TitlesOfParts>
  <Company> </Company>
  <LinksUpToDate>false</LinksUpToDate>
  <CharactersWithSpaces>39260</CharactersWithSpaces>
  <SharedDoc>false</SharedDoc>
  <HLinks>
    <vt:vector size="426" baseType="variant">
      <vt:variant>
        <vt:i4>393283</vt:i4>
      </vt:variant>
      <vt:variant>
        <vt:i4>210</vt:i4>
      </vt:variant>
      <vt:variant>
        <vt:i4>0</vt:i4>
      </vt:variant>
      <vt:variant>
        <vt:i4>5</vt:i4>
      </vt:variant>
      <vt:variant>
        <vt:lpwstr>http://www.nevo.co.il/advertisements/nevo-100.doc</vt:lpwstr>
      </vt:variant>
      <vt:variant>
        <vt:lpwstr/>
      </vt:variant>
      <vt:variant>
        <vt:i4>1966158</vt:i4>
      </vt:variant>
      <vt:variant>
        <vt:i4>207</vt:i4>
      </vt:variant>
      <vt:variant>
        <vt:i4>0</vt:i4>
      </vt:variant>
      <vt:variant>
        <vt:i4>5</vt:i4>
      </vt:variant>
      <vt:variant>
        <vt:lpwstr>http://www.court.gov.il/</vt:lpwstr>
      </vt:variant>
      <vt:variant>
        <vt:lpwstr/>
      </vt:variant>
      <vt:variant>
        <vt:i4>7995503</vt:i4>
      </vt:variant>
      <vt:variant>
        <vt:i4>204</vt:i4>
      </vt:variant>
      <vt:variant>
        <vt:i4>0</vt:i4>
      </vt:variant>
      <vt:variant>
        <vt:i4>5</vt:i4>
      </vt:variant>
      <vt:variant>
        <vt:lpwstr>http://www.nevo.co.il/law/74849</vt:lpwstr>
      </vt:variant>
      <vt:variant>
        <vt:lpwstr/>
      </vt:variant>
      <vt:variant>
        <vt:i4>6619237</vt:i4>
      </vt:variant>
      <vt:variant>
        <vt:i4>201</vt:i4>
      </vt:variant>
      <vt:variant>
        <vt:i4>0</vt:i4>
      </vt:variant>
      <vt:variant>
        <vt:i4>5</vt:i4>
      </vt:variant>
      <vt:variant>
        <vt:lpwstr>http://www.nevo.co.il/law/74849/30</vt:lpwstr>
      </vt:variant>
      <vt:variant>
        <vt:lpwstr/>
      </vt:variant>
      <vt:variant>
        <vt:i4>3409320</vt:i4>
      </vt:variant>
      <vt:variant>
        <vt:i4>198</vt:i4>
      </vt:variant>
      <vt:variant>
        <vt:i4>0</vt:i4>
      </vt:variant>
      <vt:variant>
        <vt:i4>5</vt:i4>
      </vt:variant>
      <vt:variant>
        <vt:lpwstr>http://www.nevo.co.il/links/psika/?link=בגץ 301/69&amp;Pvol=כד</vt:lpwstr>
      </vt:variant>
      <vt:variant>
        <vt:lpwstr/>
      </vt:variant>
      <vt:variant>
        <vt:i4>3212714</vt:i4>
      </vt:variant>
      <vt:variant>
        <vt:i4>195</vt:i4>
      </vt:variant>
      <vt:variant>
        <vt:i4>0</vt:i4>
      </vt:variant>
      <vt:variant>
        <vt:i4>5</vt:i4>
      </vt:variant>
      <vt:variant>
        <vt:lpwstr>http://www.nevo.co.il/links/psika/?link=בגץ 640/78&amp;Pvol=לד</vt:lpwstr>
      </vt:variant>
      <vt:variant>
        <vt:lpwstr/>
      </vt:variant>
      <vt:variant>
        <vt:i4>3212704</vt:i4>
      </vt:variant>
      <vt:variant>
        <vt:i4>192</vt:i4>
      </vt:variant>
      <vt:variant>
        <vt:i4>0</vt:i4>
      </vt:variant>
      <vt:variant>
        <vt:i4>5</vt:i4>
      </vt:variant>
      <vt:variant>
        <vt:lpwstr>http://www.nevo.co.il/links/psika/?link=בגץ 637/89&amp;Pvol=מו</vt:lpwstr>
      </vt:variant>
      <vt:variant>
        <vt:lpwstr/>
      </vt:variant>
      <vt:variant>
        <vt:i4>4653137</vt:i4>
      </vt:variant>
      <vt:variant>
        <vt:i4>189</vt:i4>
      </vt:variant>
      <vt:variant>
        <vt:i4>0</vt:i4>
      </vt:variant>
      <vt:variant>
        <vt:i4>5</vt:i4>
      </vt:variant>
      <vt:variant>
        <vt:lpwstr>http://www.nevo.co.il/law/74683/2.10</vt:lpwstr>
      </vt:variant>
      <vt:variant>
        <vt:lpwstr/>
      </vt:variant>
      <vt:variant>
        <vt:i4>99221587</vt:i4>
      </vt:variant>
      <vt:variant>
        <vt:i4>186</vt:i4>
      </vt:variant>
      <vt:variant>
        <vt:i4>0</vt:i4>
      </vt:variant>
      <vt:variant>
        <vt:i4>5</vt:i4>
      </vt:variant>
      <vt:variant>
        <vt:lpwstr>http://www.nevo.co.il/links/psika/?link=עעמ 9168/05</vt:lpwstr>
      </vt:variant>
      <vt:variant>
        <vt:lpwstr/>
      </vt:variant>
      <vt:variant>
        <vt:i4>99221587</vt:i4>
      </vt:variant>
      <vt:variant>
        <vt:i4>183</vt:i4>
      </vt:variant>
      <vt:variant>
        <vt:i4>0</vt:i4>
      </vt:variant>
      <vt:variant>
        <vt:i4>5</vt:i4>
      </vt:variant>
      <vt:variant>
        <vt:lpwstr>http://www.nevo.co.il/links/psika/?link=עעמ 9168/05</vt:lpwstr>
      </vt:variant>
      <vt:variant>
        <vt:lpwstr/>
      </vt:variant>
      <vt:variant>
        <vt:i4>98239930</vt:i4>
      </vt:variant>
      <vt:variant>
        <vt:i4>180</vt:i4>
      </vt:variant>
      <vt:variant>
        <vt:i4>0</vt:i4>
      </vt:variant>
      <vt:variant>
        <vt:i4>5</vt:i4>
      </vt:variant>
      <vt:variant>
        <vt:lpwstr>http://www.nevo.co.il/links/psika/?link=עא 2413/06</vt:lpwstr>
      </vt:variant>
      <vt:variant>
        <vt:lpwstr/>
      </vt:variant>
      <vt:variant>
        <vt:i4>99352657</vt:i4>
      </vt:variant>
      <vt:variant>
        <vt:i4>177</vt:i4>
      </vt:variant>
      <vt:variant>
        <vt:i4>0</vt:i4>
      </vt:variant>
      <vt:variant>
        <vt:i4>5</vt:i4>
      </vt:variant>
      <vt:variant>
        <vt:lpwstr>http://www.nevo.co.il/links/psika/?link=עעמ 4897/06</vt:lpwstr>
      </vt:variant>
      <vt:variant>
        <vt:lpwstr/>
      </vt:variant>
      <vt:variant>
        <vt:i4>2424943</vt:i4>
      </vt:variant>
      <vt:variant>
        <vt:i4>174</vt:i4>
      </vt:variant>
      <vt:variant>
        <vt:i4>0</vt:i4>
      </vt:variant>
      <vt:variant>
        <vt:i4>5</vt:i4>
      </vt:variant>
      <vt:variant>
        <vt:lpwstr>http://www.nevo.co.il/links/psika/?link=עא 5927/08&amp;Pvol=נז</vt:lpwstr>
      </vt:variant>
      <vt:variant>
        <vt:lpwstr/>
      </vt:variant>
      <vt:variant>
        <vt:i4>98960770</vt:i4>
      </vt:variant>
      <vt:variant>
        <vt:i4>171</vt:i4>
      </vt:variant>
      <vt:variant>
        <vt:i4>0</vt:i4>
      </vt:variant>
      <vt:variant>
        <vt:i4>5</vt:i4>
      </vt:variant>
      <vt:variant>
        <vt:lpwstr>http://www.nevo.co.il/links/psika/?link=עא%206291/95</vt:lpwstr>
      </vt:variant>
      <vt:variant>
        <vt:lpwstr/>
      </vt:variant>
      <vt:variant>
        <vt:i4>98697296</vt:i4>
      </vt:variant>
      <vt:variant>
        <vt:i4>168</vt:i4>
      </vt:variant>
      <vt:variant>
        <vt:i4>0</vt:i4>
      </vt:variant>
      <vt:variant>
        <vt:i4>5</vt:i4>
      </vt:variant>
      <vt:variant>
        <vt:lpwstr>http://www.nevo.co.il/links/psika/?link=עעמ 8445/06</vt:lpwstr>
      </vt:variant>
      <vt:variant>
        <vt:lpwstr/>
      </vt:variant>
      <vt:variant>
        <vt:i4>7798884</vt:i4>
      </vt:variant>
      <vt:variant>
        <vt:i4>165</vt:i4>
      </vt:variant>
      <vt:variant>
        <vt:i4>0</vt:i4>
      </vt:variant>
      <vt:variant>
        <vt:i4>5</vt:i4>
      </vt:variant>
      <vt:variant>
        <vt:lpwstr>http://www.nevo.co.il/law/74683/6.a</vt:lpwstr>
      </vt:variant>
      <vt:variant>
        <vt:lpwstr/>
      </vt:variant>
      <vt:variant>
        <vt:i4>4653137</vt:i4>
      </vt:variant>
      <vt:variant>
        <vt:i4>162</vt:i4>
      </vt:variant>
      <vt:variant>
        <vt:i4>0</vt:i4>
      </vt:variant>
      <vt:variant>
        <vt:i4>5</vt:i4>
      </vt:variant>
      <vt:variant>
        <vt:lpwstr>http://www.nevo.co.il/law/74683/2.10</vt:lpwstr>
      </vt:variant>
      <vt:variant>
        <vt:lpwstr/>
      </vt:variant>
      <vt:variant>
        <vt:i4>5832786</vt:i4>
      </vt:variant>
      <vt:variant>
        <vt:i4>159</vt:i4>
      </vt:variant>
      <vt:variant>
        <vt:i4>0</vt:i4>
      </vt:variant>
      <vt:variant>
        <vt:i4>5</vt:i4>
      </vt:variant>
      <vt:variant>
        <vt:lpwstr>http://www.nevo.co.il/law/74683/2</vt:lpwstr>
      </vt:variant>
      <vt:variant>
        <vt:lpwstr/>
      </vt:variant>
      <vt:variant>
        <vt:i4>4718682</vt:i4>
      </vt:variant>
      <vt:variant>
        <vt:i4>156</vt:i4>
      </vt:variant>
      <vt:variant>
        <vt:i4>0</vt:i4>
      </vt:variant>
      <vt:variant>
        <vt:i4>5</vt:i4>
      </vt:variant>
      <vt:variant>
        <vt:lpwstr>http://www.nevo.co.il/law/91073/151.b</vt:lpwstr>
      </vt:variant>
      <vt:variant>
        <vt:lpwstr/>
      </vt:variant>
      <vt:variant>
        <vt:i4>8126569</vt:i4>
      </vt:variant>
      <vt:variant>
        <vt:i4>153</vt:i4>
      </vt:variant>
      <vt:variant>
        <vt:i4>0</vt:i4>
      </vt:variant>
      <vt:variant>
        <vt:i4>5</vt:i4>
      </vt:variant>
      <vt:variant>
        <vt:lpwstr>http://www.nevo.co.il/law/91073</vt:lpwstr>
      </vt:variant>
      <vt:variant>
        <vt:lpwstr/>
      </vt:variant>
      <vt:variant>
        <vt:i4>4718682</vt:i4>
      </vt:variant>
      <vt:variant>
        <vt:i4>150</vt:i4>
      </vt:variant>
      <vt:variant>
        <vt:i4>0</vt:i4>
      </vt:variant>
      <vt:variant>
        <vt:i4>5</vt:i4>
      </vt:variant>
      <vt:variant>
        <vt:lpwstr>http://www.nevo.co.il/law/91073/151.a</vt:lpwstr>
      </vt:variant>
      <vt:variant>
        <vt:lpwstr/>
      </vt:variant>
      <vt:variant>
        <vt:i4>8126569</vt:i4>
      </vt:variant>
      <vt:variant>
        <vt:i4>147</vt:i4>
      </vt:variant>
      <vt:variant>
        <vt:i4>0</vt:i4>
      </vt:variant>
      <vt:variant>
        <vt:i4>5</vt:i4>
      </vt:variant>
      <vt:variant>
        <vt:lpwstr>http://www.nevo.co.il/law/91073</vt:lpwstr>
      </vt:variant>
      <vt:variant>
        <vt:lpwstr/>
      </vt:variant>
      <vt:variant>
        <vt:i4>6750315</vt:i4>
      </vt:variant>
      <vt:variant>
        <vt:i4>144</vt:i4>
      </vt:variant>
      <vt:variant>
        <vt:i4>0</vt:i4>
      </vt:variant>
      <vt:variant>
        <vt:i4>5</vt:i4>
      </vt:variant>
      <vt:variant>
        <vt:lpwstr>http://www.nevo.co.il/law/91073/147</vt:lpwstr>
      </vt:variant>
      <vt:variant>
        <vt:lpwstr/>
      </vt:variant>
      <vt:variant>
        <vt:i4>8126569</vt:i4>
      </vt:variant>
      <vt:variant>
        <vt:i4>141</vt:i4>
      </vt:variant>
      <vt:variant>
        <vt:i4>0</vt:i4>
      </vt:variant>
      <vt:variant>
        <vt:i4>5</vt:i4>
      </vt:variant>
      <vt:variant>
        <vt:lpwstr>http://www.nevo.co.il/law/91073</vt:lpwstr>
      </vt:variant>
      <vt:variant>
        <vt:lpwstr/>
      </vt:variant>
      <vt:variant>
        <vt:i4>5439578</vt:i4>
      </vt:variant>
      <vt:variant>
        <vt:i4>138</vt:i4>
      </vt:variant>
      <vt:variant>
        <vt:i4>0</vt:i4>
      </vt:variant>
      <vt:variant>
        <vt:i4>5</vt:i4>
      </vt:variant>
      <vt:variant>
        <vt:lpwstr>http://www.nevo.co.il/law/91073/1</vt:lpwstr>
      </vt:variant>
      <vt:variant>
        <vt:lpwstr/>
      </vt:variant>
      <vt:variant>
        <vt:i4>8126569</vt:i4>
      </vt:variant>
      <vt:variant>
        <vt:i4>135</vt:i4>
      </vt:variant>
      <vt:variant>
        <vt:i4>0</vt:i4>
      </vt:variant>
      <vt:variant>
        <vt:i4>5</vt:i4>
      </vt:variant>
      <vt:variant>
        <vt:lpwstr>http://www.nevo.co.il/law/91073</vt:lpwstr>
      </vt:variant>
      <vt:variant>
        <vt:lpwstr/>
      </vt:variant>
      <vt:variant>
        <vt:i4>4718681</vt:i4>
      </vt:variant>
      <vt:variant>
        <vt:i4>132</vt:i4>
      </vt:variant>
      <vt:variant>
        <vt:i4>0</vt:i4>
      </vt:variant>
      <vt:variant>
        <vt:i4>5</vt:i4>
      </vt:variant>
      <vt:variant>
        <vt:lpwstr>http://www.nevo.co.il/law/91073/152.d</vt:lpwstr>
      </vt:variant>
      <vt:variant>
        <vt:lpwstr/>
      </vt:variant>
      <vt:variant>
        <vt:i4>8126569</vt:i4>
      </vt:variant>
      <vt:variant>
        <vt:i4>129</vt:i4>
      </vt:variant>
      <vt:variant>
        <vt:i4>0</vt:i4>
      </vt:variant>
      <vt:variant>
        <vt:i4>5</vt:i4>
      </vt:variant>
      <vt:variant>
        <vt:lpwstr>http://www.nevo.co.il/law/91073</vt:lpwstr>
      </vt:variant>
      <vt:variant>
        <vt:lpwstr/>
      </vt:variant>
      <vt:variant>
        <vt:i4>4980746</vt:i4>
      </vt:variant>
      <vt:variant>
        <vt:i4>126</vt:i4>
      </vt:variant>
      <vt:variant>
        <vt:i4>0</vt:i4>
      </vt:variant>
      <vt:variant>
        <vt:i4>5</vt:i4>
      </vt:variant>
      <vt:variant>
        <vt:lpwstr>http://www.nevo.co.il/law/91073/11a.a</vt:lpwstr>
      </vt:variant>
      <vt:variant>
        <vt:lpwstr/>
      </vt:variant>
      <vt:variant>
        <vt:i4>97517653</vt:i4>
      </vt:variant>
      <vt:variant>
        <vt:i4>123</vt:i4>
      </vt:variant>
      <vt:variant>
        <vt:i4>0</vt:i4>
      </vt:variant>
      <vt:variant>
        <vt:i4>5</vt:i4>
      </vt:variant>
      <vt:variant>
        <vt:lpwstr>http://www.nevo.co.il/links/psika/?link=בגץ 1003/03</vt:lpwstr>
      </vt:variant>
      <vt:variant>
        <vt:lpwstr/>
      </vt:variant>
      <vt:variant>
        <vt:i4>99221584</vt:i4>
      </vt:variant>
      <vt:variant>
        <vt:i4>120</vt:i4>
      </vt:variant>
      <vt:variant>
        <vt:i4>0</vt:i4>
      </vt:variant>
      <vt:variant>
        <vt:i4>5</vt:i4>
      </vt:variant>
      <vt:variant>
        <vt:lpwstr>http://www.nevo.co.il/links/psika/?link=עעמ 4881/08</vt:lpwstr>
      </vt:variant>
      <vt:variant>
        <vt:lpwstr/>
      </vt:variant>
      <vt:variant>
        <vt:i4>98697305</vt:i4>
      </vt:variant>
      <vt:variant>
        <vt:i4>117</vt:i4>
      </vt:variant>
      <vt:variant>
        <vt:i4>0</vt:i4>
      </vt:variant>
      <vt:variant>
        <vt:i4>5</vt:i4>
      </vt:variant>
      <vt:variant>
        <vt:lpwstr>http://www.nevo.co.il/links/psika/?link=עעמ 2273/03</vt:lpwstr>
      </vt:variant>
      <vt:variant>
        <vt:lpwstr/>
      </vt:variant>
      <vt:variant>
        <vt:i4>97779798</vt:i4>
      </vt:variant>
      <vt:variant>
        <vt:i4>114</vt:i4>
      </vt:variant>
      <vt:variant>
        <vt:i4>0</vt:i4>
      </vt:variant>
      <vt:variant>
        <vt:i4>5</vt:i4>
      </vt:variant>
      <vt:variant>
        <vt:lpwstr>http://www.nevo.co.il/links/psika/?link=בגץ 3017/05</vt:lpwstr>
      </vt:variant>
      <vt:variant>
        <vt:lpwstr/>
      </vt:variant>
      <vt:variant>
        <vt:i4>98631760</vt:i4>
      </vt:variant>
      <vt:variant>
        <vt:i4>111</vt:i4>
      </vt:variant>
      <vt:variant>
        <vt:i4>0</vt:i4>
      </vt:variant>
      <vt:variant>
        <vt:i4>5</vt:i4>
      </vt:variant>
      <vt:variant>
        <vt:lpwstr>http://www.nevo.co.il/links/psika/?link=עעמ 9654/06</vt:lpwstr>
      </vt:variant>
      <vt:variant>
        <vt:lpwstr/>
      </vt:variant>
      <vt:variant>
        <vt:i4>918950</vt:i4>
      </vt:variant>
      <vt:variant>
        <vt:i4>108</vt:i4>
      </vt:variant>
      <vt:variant>
        <vt:i4>0</vt:i4>
      </vt:variant>
      <vt:variant>
        <vt:i4>5</vt:i4>
      </vt:variant>
      <vt:variant>
        <vt:lpwstr>http://www.nevo.co.il/links/psika/?link=בגץ 10242/03&amp;Pvol=נח</vt:lpwstr>
      </vt:variant>
      <vt:variant>
        <vt:lpwstr/>
      </vt:variant>
      <vt:variant>
        <vt:i4>99549286</vt:i4>
      </vt:variant>
      <vt:variant>
        <vt:i4>105</vt:i4>
      </vt:variant>
      <vt:variant>
        <vt:i4>0</vt:i4>
      </vt:variant>
      <vt:variant>
        <vt:i4>5</vt:i4>
      </vt:variant>
      <vt:variant>
        <vt:lpwstr>http://www.nevo.co.il/links/psika/?link=בגץ%202920/04</vt:lpwstr>
      </vt:variant>
      <vt:variant>
        <vt:lpwstr/>
      </vt:variant>
      <vt:variant>
        <vt:i4>99549272</vt:i4>
      </vt:variant>
      <vt:variant>
        <vt:i4>102</vt:i4>
      </vt:variant>
      <vt:variant>
        <vt:i4>0</vt:i4>
      </vt:variant>
      <vt:variant>
        <vt:i4>5</vt:i4>
      </vt:variant>
      <vt:variant>
        <vt:lpwstr>http://www.nevo.co.il/links/psika/?link=עעמ 3478/07</vt:lpwstr>
      </vt:variant>
      <vt:variant>
        <vt:lpwstr/>
      </vt:variant>
      <vt:variant>
        <vt:i4>99221587</vt:i4>
      </vt:variant>
      <vt:variant>
        <vt:i4>99</vt:i4>
      </vt:variant>
      <vt:variant>
        <vt:i4>0</vt:i4>
      </vt:variant>
      <vt:variant>
        <vt:i4>5</vt:i4>
      </vt:variant>
      <vt:variant>
        <vt:lpwstr>http://www.nevo.co.il/links/psika/?link=עעמ 9168/05</vt:lpwstr>
      </vt:variant>
      <vt:variant>
        <vt:lpwstr/>
      </vt:variant>
      <vt:variant>
        <vt:i4>7733345</vt:i4>
      </vt:variant>
      <vt:variant>
        <vt:i4>96</vt:i4>
      </vt:variant>
      <vt:variant>
        <vt:i4>0</vt:i4>
      </vt:variant>
      <vt:variant>
        <vt:i4>5</vt:i4>
      </vt:variant>
      <vt:variant>
        <vt:lpwstr>http://www.nevo.co.il/law/74683</vt:lpwstr>
      </vt:variant>
      <vt:variant>
        <vt:lpwstr/>
      </vt:variant>
      <vt:variant>
        <vt:i4>4653137</vt:i4>
      </vt:variant>
      <vt:variant>
        <vt:i4>93</vt:i4>
      </vt:variant>
      <vt:variant>
        <vt:i4>0</vt:i4>
      </vt:variant>
      <vt:variant>
        <vt:i4>5</vt:i4>
      </vt:variant>
      <vt:variant>
        <vt:lpwstr>http://www.nevo.co.il/law/74683/2.10</vt:lpwstr>
      </vt:variant>
      <vt:variant>
        <vt:lpwstr/>
      </vt:variant>
      <vt:variant>
        <vt:i4>99221587</vt:i4>
      </vt:variant>
      <vt:variant>
        <vt:i4>90</vt:i4>
      </vt:variant>
      <vt:variant>
        <vt:i4>0</vt:i4>
      </vt:variant>
      <vt:variant>
        <vt:i4>5</vt:i4>
      </vt:variant>
      <vt:variant>
        <vt:lpwstr>http://www.nevo.co.il/links/psika/?link=עעמ 9168/05</vt:lpwstr>
      </vt:variant>
      <vt:variant>
        <vt:lpwstr/>
      </vt:variant>
      <vt:variant>
        <vt:i4>99090526</vt:i4>
      </vt:variant>
      <vt:variant>
        <vt:i4>87</vt:i4>
      </vt:variant>
      <vt:variant>
        <vt:i4>0</vt:i4>
      </vt:variant>
      <vt:variant>
        <vt:i4>5</vt:i4>
      </vt:variant>
      <vt:variant>
        <vt:lpwstr>http://www.nevo.co.il/links/psika/?link=עתמ 3012/14</vt:lpwstr>
      </vt:variant>
      <vt:variant>
        <vt:lpwstr/>
      </vt:variant>
      <vt:variant>
        <vt:i4>8126569</vt:i4>
      </vt:variant>
      <vt:variant>
        <vt:i4>84</vt:i4>
      </vt:variant>
      <vt:variant>
        <vt:i4>0</vt:i4>
      </vt:variant>
      <vt:variant>
        <vt:i4>5</vt:i4>
      </vt:variant>
      <vt:variant>
        <vt:lpwstr>http://www.nevo.co.il/law/91073</vt:lpwstr>
      </vt:variant>
      <vt:variant>
        <vt:lpwstr/>
      </vt:variant>
      <vt:variant>
        <vt:i4>8126569</vt:i4>
      </vt:variant>
      <vt:variant>
        <vt:i4>81</vt:i4>
      </vt:variant>
      <vt:variant>
        <vt:i4>0</vt:i4>
      </vt:variant>
      <vt:variant>
        <vt:i4>5</vt:i4>
      </vt:variant>
      <vt:variant>
        <vt:lpwstr>http://www.nevo.co.il/law/91073</vt:lpwstr>
      </vt:variant>
      <vt:variant>
        <vt:lpwstr/>
      </vt:variant>
      <vt:variant>
        <vt:i4>6422632</vt:i4>
      </vt:variant>
      <vt:variant>
        <vt:i4>78</vt:i4>
      </vt:variant>
      <vt:variant>
        <vt:i4>0</vt:i4>
      </vt:variant>
      <vt:variant>
        <vt:i4>5</vt:i4>
      </vt:variant>
      <vt:variant>
        <vt:lpwstr>http://www.nevo.co.il/law/91073/210</vt:lpwstr>
      </vt:variant>
      <vt:variant>
        <vt:lpwstr/>
      </vt:variant>
      <vt:variant>
        <vt:i4>98893933</vt:i4>
      </vt:variant>
      <vt:variant>
        <vt:i4>75</vt:i4>
      </vt:variant>
      <vt:variant>
        <vt:i4>0</vt:i4>
      </vt:variant>
      <vt:variant>
        <vt:i4>5</vt:i4>
      </vt:variant>
      <vt:variant>
        <vt:lpwstr>http://www.nevo.co.il/links/psika/?link=רעפ 1601/11</vt:lpwstr>
      </vt:variant>
      <vt:variant>
        <vt:lpwstr/>
      </vt:variant>
      <vt:variant>
        <vt:i4>2491854</vt:i4>
      </vt:variant>
      <vt:variant>
        <vt:i4>72</vt:i4>
      </vt:variant>
      <vt:variant>
        <vt:i4>0</vt:i4>
      </vt:variant>
      <vt:variant>
        <vt:i4>5</vt:i4>
      </vt:variant>
      <vt:variant>
        <vt:lpwstr>http://www.nevo.co.il/links/psika/?NEWPROC=עפא&amp;NEWPARTA=32213&amp;NEWPARTB=12&amp;NEWPARTC=09</vt:lpwstr>
      </vt:variant>
      <vt:variant>
        <vt:lpwstr/>
      </vt:variant>
      <vt:variant>
        <vt:i4>8126569</vt:i4>
      </vt:variant>
      <vt:variant>
        <vt:i4>69</vt:i4>
      </vt:variant>
      <vt:variant>
        <vt:i4>0</vt:i4>
      </vt:variant>
      <vt:variant>
        <vt:i4>5</vt:i4>
      </vt:variant>
      <vt:variant>
        <vt:lpwstr>http://www.nevo.co.il/law/91073</vt:lpwstr>
      </vt:variant>
      <vt:variant>
        <vt:lpwstr/>
      </vt:variant>
      <vt:variant>
        <vt:i4>5046364</vt:i4>
      </vt:variant>
      <vt:variant>
        <vt:i4>66</vt:i4>
      </vt:variant>
      <vt:variant>
        <vt:i4>0</vt:i4>
      </vt:variant>
      <vt:variant>
        <vt:i4>5</vt:i4>
      </vt:variant>
      <vt:variant>
        <vt:lpwstr>http://www.nevo.co.il/law/91073/204.a</vt:lpwstr>
      </vt:variant>
      <vt:variant>
        <vt:lpwstr/>
      </vt:variant>
      <vt:variant>
        <vt:i4>6750315</vt:i4>
      </vt:variant>
      <vt:variant>
        <vt:i4>63</vt:i4>
      </vt:variant>
      <vt:variant>
        <vt:i4>0</vt:i4>
      </vt:variant>
      <vt:variant>
        <vt:i4>5</vt:i4>
      </vt:variant>
      <vt:variant>
        <vt:lpwstr>http://www.nevo.co.il/law/91073/145</vt:lpwstr>
      </vt:variant>
      <vt:variant>
        <vt:lpwstr/>
      </vt:variant>
      <vt:variant>
        <vt:i4>98043319</vt:i4>
      </vt:variant>
      <vt:variant>
        <vt:i4>60</vt:i4>
      </vt:variant>
      <vt:variant>
        <vt:i4>0</vt:i4>
      </vt:variant>
      <vt:variant>
        <vt:i4>5</vt:i4>
      </vt:variant>
      <vt:variant>
        <vt:lpwstr>http://www.nevo.co.il/links/psika/?link=תא 5231/10</vt:lpwstr>
      </vt:variant>
      <vt:variant>
        <vt:lpwstr/>
      </vt:variant>
      <vt:variant>
        <vt:i4>2885058</vt:i4>
      </vt:variant>
      <vt:variant>
        <vt:i4>57</vt:i4>
      </vt:variant>
      <vt:variant>
        <vt:i4>0</vt:i4>
      </vt:variant>
      <vt:variant>
        <vt:i4>5</vt:i4>
      </vt:variant>
      <vt:variant>
        <vt:lpwstr>http://www.nevo.co.il/links/psika/?NEWPROC=עתמ&amp;NEWPARTA=31262&amp;NEWPARTB=01&amp;NEWPARTC=11</vt:lpwstr>
      </vt:variant>
      <vt:variant>
        <vt:lpwstr/>
      </vt:variant>
      <vt:variant>
        <vt:i4>8126569</vt:i4>
      </vt:variant>
      <vt:variant>
        <vt:i4>54</vt:i4>
      </vt:variant>
      <vt:variant>
        <vt:i4>0</vt:i4>
      </vt:variant>
      <vt:variant>
        <vt:i4>5</vt:i4>
      </vt:variant>
      <vt:variant>
        <vt:lpwstr>http://www.nevo.co.il/law/91073</vt:lpwstr>
      </vt:variant>
      <vt:variant>
        <vt:lpwstr/>
      </vt:variant>
      <vt:variant>
        <vt:i4>8126569</vt:i4>
      </vt:variant>
      <vt:variant>
        <vt:i4>51</vt:i4>
      </vt:variant>
      <vt:variant>
        <vt:i4>0</vt:i4>
      </vt:variant>
      <vt:variant>
        <vt:i4>5</vt:i4>
      </vt:variant>
      <vt:variant>
        <vt:lpwstr>http://www.nevo.co.il/law/91073</vt:lpwstr>
      </vt:variant>
      <vt:variant>
        <vt:lpwstr/>
      </vt:variant>
      <vt:variant>
        <vt:i4>7798884</vt:i4>
      </vt:variant>
      <vt:variant>
        <vt:i4>48</vt:i4>
      </vt:variant>
      <vt:variant>
        <vt:i4>0</vt:i4>
      </vt:variant>
      <vt:variant>
        <vt:i4>5</vt:i4>
      </vt:variant>
      <vt:variant>
        <vt:lpwstr>http://www.nevo.co.il/law/74683/6.a</vt:lpwstr>
      </vt:variant>
      <vt:variant>
        <vt:lpwstr/>
      </vt:variant>
      <vt:variant>
        <vt:i4>4653137</vt:i4>
      </vt:variant>
      <vt:variant>
        <vt:i4>45</vt:i4>
      </vt:variant>
      <vt:variant>
        <vt:i4>0</vt:i4>
      </vt:variant>
      <vt:variant>
        <vt:i4>5</vt:i4>
      </vt:variant>
      <vt:variant>
        <vt:lpwstr>http://www.nevo.co.il/law/74683/2.10</vt:lpwstr>
      </vt:variant>
      <vt:variant>
        <vt:lpwstr/>
      </vt:variant>
      <vt:variant>
        <vt:i4>5832786</vt:i4>
      </vt:variant>
      <vt:variant>
        <vt:i4>42</vt:i4>
      </vt:variant>
      <vt:variant>
        <vt:i4>0</vt:i4>
      </vt:variant>
      <vt:variant>
        <vt:i4>5</vt:i4>
      </vt:variant>
      <vt:variant>
        <vt:lpwstr>http://www.nevo.co.il/law/74683/2</vt:lpwstr>
      </vt:variant>
      <vt:variant>
        <vt:lpwstr/>
      </vt:variant>
      <vt:variant>
        <vt:i4>7733345</vt:i4>
      </vt:variant>
      <vt:variant>
        <vt:i4>39</vt:i4>
      </vt:variant>
      <vt:variant>
        <vt:i4>0</vt:i4>
      </vt:variant>
      <vt:variant>
        <vt:i4>5</vt:i4>
      </vt:variant>
      <vt:variant>
        <vt:lpwstr>http://www.nevo.co.il/law/74683</vt:lpwstr>
      </vt:variant>
      <vt:variant>
        <vt:lpwstr/>
      </vt:variant>
      <vt:variant>
        <vt:i4>6619237</vt:i4>
      </vt:variant>
      <vt:variant>
        <vt:i4>36</vt:i4>
      </vt:variant>
      <vt:variant>
        <vt:i4>0</vt:i4>
      </vt:variant>
      <vt:variant>
        <vt:i4>5</vt:i4>
      </vt:variant>
      <vt:variant>
        <vt:lpwstr>http://www.nevo.co.il/law/74849/30</vt:lpwstr>
      </vt:variant>
      <vt:variant>
        <vt:lpwstr/>
      </vt:variant>
      <vt:variant>
        <vt:i4>7995503</vt:i4>
      </vt:variant>
      <vt:variant>
        <vt:i4>33</vt:i4>
      </vt:variant>
      <vt:variant>
        <vt:i4>0</vt:i4>
      </vt:variant>
      <vt:variant>
        <vt:i4>5</vt:i4>
      </vt:variant>
      <vt:variant>
        <vt:lpwstr>http://www.nevo.co.il/law/74849</vt:lpwstr>
      </vt:variant>
      <vt:variant>
        <vt:lpwstr/>
      </vt:variant>
      <vt:variant>
        <vt:i4>6422632</vt:i4>
      </vt:variant>
      <vt:variant>
        <vt:i4>30</vt:i4>
      </vt:variant>
      <vt:variant>
        <vt:i4>0</vt:i4>
      </vt:variant>
      <vt:variant>
        <vt:i4>5</vt:i4>
      </vt:variant>
      <vt:variant>
        <vt:lpwstr>http://www.nevo.co.il/law/91073/210</vt:lpwstr>
      </vt:variant>
      <vt:variant>
        <vt:lpwstr/>
      </vt:variant>
      <vt:variant>
        <vt:i4>5046364</vt:i4>
      </vt:variant>
      <vt:variant>
        <vt:i4>27</vt:i4>
      </vt:variant>
      <vt:variant>
        <vt:i4>0</vt:i4>
      </vt:variant>
      <vt:variant>
        <vt:i4>5</vt:i4>
      </vt:variant>
      <vt:variant>
        <vt:lpwstr>http://www.nevo.co.il/law/91073/204.a</vt:lpwstr>
      </vt:variant>
      <vt:variant>
        <vt:lpwstr/>
      </vt:variant>
      <vt:variant>
        <vt:i4>4718681</vt:i4>
      </vt:variant>
      <vt:variant>
        <vt:i4>24</vt:i4>
      </vt:variant>
      <vt:variant>
        <vt:i4>0</vt:i4>
      </vt:variant>
      <vt:variant>
        <vt:i4>5</vt:i4>
      </vt:variant>
      <vt:variant>
        <vt:lpwstr>http://www.nevo.co.il/law/91073/152.d</vt:lpwstr>
      </vt:variant>
      <vt:variant>
        <vt:lpwstr/>
      </vt:variant>
      <vt:variant>
        <vt:i4>4718682</vt:i4>
      </vt:variant>
      <vt:variant>
        <vt:i4>21</vt:i4>
      </vt:variant>
      <vt:variant>
        <vt:i4>0</vt:i4>
      </vt:variant>
      <vt:variant>
        <vt:i4>5</vt:i4>
      </vt:variant>
      <vt:variant>
        <vt:lpwstr>http://www.nevo.co.il/law/91073/151.b</vt:lpwstr>
      </vt:variant>
      <vt:variant>
        <vt:lpwstr/>
      </vt:variant>
      <vt:variant>
        <vt:i4>4718682</vt:i4>
      </vt:variant>
      <vt:variant>
        <vt:i4>18</vt:i4>
      </vt:variant>
      <vt:variant>
        <vt:i4>0</vt:i4>
      </vt:variant>
      <vt:variant>
        <vt:i4>5</vt:i4>
      </vt:variant>
      <vt:variant>
        <vt:lpwstr>http://www.nevo.co.il/law/91073/151.a</vt:lpwstr>
      </vt:variant>
      <vt:variant>
        <vt:lpwstr/>
      </vt:variant>
      <vt:variant>
        <vt:i4>6750315</vt:i4>
      </vt:variant>
      <vt:variant>
        <vt:i4>15</vt:i4>
      </vt:variant>
      <vt:variant>
        <vt:i4>0</vt:i4>
      </vt:variant>
      <vt:variant>
        <vt:i4>5</vt:i4>
      </vt:variant>
      <vt:variant>
        <vt:lpwstr>http://www.nevo.co.il/law/91073/147</vt:lpwstr>
      </vt:variant>
      <vt:variant>
        <vt:lpwstr/>
      </vt:variant>
      <vt:variant>
        <vt:i4>6750315</vt:i4>
      </vt:variant>
      <vt:variant>
        <vt:i4>12</vt:i4>
      </vt:variant>
      <vt:variant>
        <vt:i4>0</vt:i4>
      </vt:variant>
      <vt:variant>
        <vt:i4>5</vt:i4>
      </vt:variant>
      <vt:variant>
        <vt:lpwstr>http://www.nevo.co.il/law/91073/145</vt:lpwstr>
      </vt:variant>
      <vt:variant>
        <vt:lpwstr/>
      </vt:variant>
      <vt:variant>
        <vt:i4>4980746</vt:i4>
      </vt:variant>
      <vt:variant>
        <vt:i4>9</vt:i4>
      </vt:variant>
      <vt:variant>
        <vt:i4>0</vt:i4>
      </vt:variant>
      <vt:variant>
        <vt:i4>5</vt:i4>
      </vt:variant>
      <vt:variant>
        <vt:lpwstr>http://www.nevo.co.il/law/91073/11a.a</vt:lpwstr>
      </vt:variant>
      <vt:variant>
        <vt:lpwstr/>
      </vt:variant>
      <vt:variant>
        <vt:i4>5439578</vt:i4>
      </vt:variant>
      <vt:variant>
        <vt:i4>6</vt:i4>
      </vt:variant>
      <vt:variant>
        <vt:i4>0</vt:i4>
      </vt:variant>
      <vt:variant>
        <vt:i4>5</vt:i4>
      </vt:variant>
      <vt:variant>
        <vt:lpwstr>http://www.nevo.co.il/law/91073/1</vt:lpwstr>
      </vt:variant>
      <vt:variant>
        <vt:lpwstr/>
      </vt:variant>
      <vt:variant>
        <vt:i4>8126569</vt:i4>
      </vt:variant>
      <vt:variant>
        <vt:i4>3</vt:i4>
      </vt:variant>
      <vt:variant>
        <vt:i4>0</vt:i4>
      </vt:variant>
      <vt:variant>
        <vt:i4>5</vt:i4>
      </vt:variant>
      <vt:variant>
        <vt:lpwstr>http://www.nevo.co.il/law/91073</vt:lpwstr>
      </vt:variant>
      <vt:variant>
        <vt:lpwstr/>
      </vt:variant>
      <vt:variant>
        <vt:i4>2885058</vt:i4>
      </vt:variant>
      <vt:variant>
        <vt:i4>0</vt:i4>
      </vt:variant>
      <vt:variant>
        <vt:i4>0</vt:i4>
      </vt:variant>
      <vt:variant>
        <vt:i4>5</vt:i4>
      </vt:variant>
      <vt:variant>
        <vt:lpwstr>http://www.nevo.co.il/links/psika/?NEWPROC=עתמ&amp;NEWPARTA=31262&amp;NEWPARTB=01&amp;NEWPARTC=11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nevo.co.il</dc:title>
  <dc:subject> </dc:subject>
  <dc:creator> </dc:creator>
  <cp:keywords/>
  <dc:description/>
  <cp:lastModifiedBy>*****</cp:lastModifiedBy>
  <cp:revision>2</cp:revision>
  <cp:lastPrinted>2013-01-16T05:52:00Z</cp:lastPrinted>
  <dcterms:created xsi:type="dcterms:W3CDTF">2014-08-21T05:50:00Z</dcterms:created>
  <dcterms:modified xsi:type="dcterms:W3CDTF">2014-08-21T05:50:00Z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1</vt:lpwstr>
  </property>
  <property fmtid="{D5CDD505-2E9C-101B-9397-08002B2CF9AE}" pid="3" name="PSAKDIN">
    <vt:lpwstr>פסק-דין</vt:lpwstr>
  </property>
  <property fmtid="{D5CDD505-2E9C-101B-9397-08002B2CF9AE}" pid="4" name="PROCESS">
    <vt:lpwstr>עעמ</vt:lpwstr>
  </property>
  <property fmtid="{D5CDD505-2E9C-101B-9397-08002B2CF9AE}" pid="5" name="PROCNUM">
    <vt:lpwstr>2131</vt:lpwstr>
  </property>
  <property fmtid="{D5CDD505-2E9C-101B-9397-08002B2CF9AE}" pid="6" name="PROCYEAR">
    <vt:lpwstr>12</vt:lpwstr>
  </property>
  <property fmtid="{D5CDD505-2E9C-101B-9397-08002B2CF9AE}" pid="7" name="APPELLANT">
    <vt:lpwstr>רוני טל [טוקוולי];מלכה טוקוולי</vt:lpwstr>
  </property>
  <property fmtid="{D5CDD505-2E9C-101B-9397-08002B2CF9AE}" pid="8" name="APPELLEE">
    <vt:lpwstr>ועדת ערר המחוזית ת''א;שלמה בורה</vt:lpwstr>
  </property>
  <property fmtid="{D5CDD505-2E9C-101B-9397-08002B2CF9AE}" pid="9" name="LAWYER">
    <vt:lpwstr>ליאורה וייס בנסקי;חיים כהן</vt:lpwstr>
  </property>
  <property fmtid="{D5CDD505-2E9C-101B-9397-08002B2CF9AE}" pid="10" name="JUDGE">
    <vt:lpwstr>ס' ג'ובראן;נ' הנדל;א' שהם</vt:lpwstr>
  </property>
  <property fmtid="{D5CDD505-2E9C-101B-9397-08002B2CF9AE}" pid="11" name="DATE">
    <vt:lpwstr>20130116</vt:lpwstr>
  </property>
  <property fmtid="{D5CDD505-2E9C-101B-9397-08002B2CF9AE}" pid="12" name="TYPE_N_DATE">
    <vt:lpwstr>41020130116</vt:lpwstr>
  </property>
  <property fmtid="{D5CDD505-2E9C-101B-9397-08002B2CF9AE}" pid="13" name="WORDNUMPAGES">
    <vt:lpwstr>21</vt:lpwstr>
  </property>
  <property fmtid="{D5CDD505-2E9C-101B-9397-08002B2CF9AE}" pid="14" name="TYPE_ABS_DATE">
    <vt:lpwstr>410120130116</vt:lpwstr>
  </property>
  <property fmtid="{D5CDD505-2E9C-101B-9397-08002B2CF9AE}" pid="15" name="ISABSTRACT">
    <vt:lpwstr>Y</vt:lpwstr>
  </property>
  <property fmtid="{D5CDD505-2E9C-101B-9397-08002B2CF9AE}" pid="16" name="APPELLANT1">
    <vt:lpwstr/>
  </property>
  <property fmtid="{D5CDD505-2E9C-101B-9397-08002B2CF9AE}" pid="17" name="APPELLANT2">
    <vt:lpwstr/>
  </property>
  <property fmtid="{D5CDD505-2E9C-101B-9397-08002B2CF9AE}" pid="18" name="APPELLEE1">
    <vt:lpwstr/>
  </property>
  <property fmtid="{D5CDD505-2E9C-101B-9397-08002B2CF9AE}" pid="19" name="APPELLEE2">
    <vt:lpwstr/>
  </property>
  <property fmtid="{D5CDD505-2E9C-101B-9397-08002B2CF9AE}" pid="20" name="CITY">
    <vt:lpwstr/>
  </property>
  <property fmtid="{D5CDD505-2E9C-101B-9397-08002B2CF9AE}" pid="21" name="VOLUME">
    <vt:lpwstr/>
  </property>
  <property fmtid="{D5CDD505-2E9C-101B-9397-08002B2CF9AE}" pid="22" name="PART">
    <vt:lpwstr/>
  </property>
  <property fmtid="{D5CDD505-2E9C-101B-9397-08002B2CF9AE}" pid="23" name="PAGE">
    <vt:lpwstr/>
  </property>
  <property fmtid="{D5CDD505-2E9C-101B-9397-08002B2CF9AE}" pid="24" name="PADIMAIL">
    <vt:lpwstr>YES</vt:lpwstr>
  </property>
  <property fmtid="{D5CDD505-2E9C-101B-9397-08002B2CF9AE}" pid="25" name="DELEMATA">
    <vt:lpwstr/>
  </property>
  <property fmtid="{D5CDD505-2E9C-101B-9397-08002B2CF9AE}" pid="26" name="NEWPROC">
    <vt:lpwstr/>
  </property>
  <property fmtid="{D5CDD505-2E9C-101B-9397-08002B2CF9AE}" pid="27" name="NEWPARTA">
    <vt:lpwstr/>
  </property>
  <property fmtid="{D5CDD505-2E9C-101B-9397-08002B2CF9AE}" pid="28" name="NEWPARTB">
    <vt:lpwstr/>
  </property>
  <property fmtid="{D5CDD505-2E9C-101B-9397-08002B2CF9AE}" pid="29" name="NEWPARTC">
    <vt:lpwstr/>
  </property>
  <property fmtid="{D5CDD505-2E9C-101B-9397-08002B2CF9AE}" pid="30" name="METAKZER">
    <vt:lpwstr>נעה</vt:lpwstr>
  </property>
  <property fmtid="{D5CDD505-2E9C-101B-9397-08002B2CF9AE}" pid="31" name="NOSE1ID">
    <vt:lpwstr>103;103;60;103</vt:lpwstr>
  </property>
  <property fmtid="{D5CDD505-2E9C-101B-9397-08002B2CF9AE}" pid="32" name="NOSE2ID">
    <vt:lpwstr>1808;1821;1202;1813</vt:lpwstr>
  </property>
  <property fmtid="{D5CDD505-2E9C-101B-9397-08002B2CF9AE}" pid="33" name="NOSE3ID">
    <vt:lpwstr>11094;11187;7636;11125</vt:lpwstr>
  </property>
  <property fmtid="{D5CDD505-2E9C-101B-9397-08002B2CF9AE}" pid="34" name="NOSE11">
    <vt:lpwstr>תכנון ובנייה</vt:lpwstr>
  </property>
  <property fmtid="{D5CDD505-2E9C-101B-9397-08002B2CF9AE}" pid="35" name="NOSE21">
    <vt:lpwstr>היתר בנייה</vt:lpwstr>
  </property>
  <property fmtid="{D5CDD505-2E9C-101B-9397-08002B2CF9AE}" pid="36" name="NOSE31">
    <vt:lpwstr>הקלה</vt:lpwstr>
  </property>
  <property fmtid="{D5CDD505-2E9C-101B-9397-08002B2CF9AE}" pid="37" name="NOSE12">
    <vt:lpwstr>תכנון ובנייה</vt:lpwstr>
  </property>
  <property fmtid="{D5CDD505-2E9C-101B-9397-08002B2CF9AE}" pid="38" name="NOSE22">
    <vt:lpwstr>תכניות</vt:lpwstr>
  </property>
  <property fmtid="{D5CDD505-2E9C-101B-9397-08002B2CF9AE}" pid="39" name="NOSE32">
    <vt:lpwstr>הקלות</vt:lpwstr>
  </property>
  <property fmtid="{D5CDD505-2E9C-101B-9397-08002B2CF9AE}" pid="40" name="NOSE13">
    <vt:lpwstr>משפט מינהלי</vt:lpwstr>
  </property>
  <property fmtid="{D5CDD505-2E9C-101B-9397-08002B2CF9AE}" pid="41" name="NOSE23">
    <vt:lpwstr>שיקול-דעת</vt:lpwstr>
  </property>
  <property fmtid="{D5CDD505-2E9C-101B-9397-08002B2CF9AE}" pid="42" name="NOSE33">
    <vt:lpwstr>ועדת תכנון ובנייה</vt:lpwstr>
  </property>
  <property fmtid="{D5CDD505-2E9C-101B-9397-08002B2CF9AE}" pid="43" name="NOSE14">
    <vt:lpwstr>תכנון ובנייה</vt:lpwstr>
  </property>
  <property fmtid="{D5CDD505-2E9C-101B-9397-08002B2CF9AE}" pid="44" name="NOSE24">
    <vt:lpwstr>ועדות התכנון והבנייה</vt:lpwstr>
  </property>
  <property fmtid="{D5CDD505-2E9C-101B-9397-08002B2CF9AE}" pid="45" name="NOSE34">
    <vt:lpwstr>התערבות בית-המשפט</vt:lpwstr>
  </property>
  <property fmtid="{D5CDD505-2E9C-101B-9397-08002B2CF9AE}" pid="46" name="NOSE15">
    <vt:lpwstr/>
  </property>
  <property fmtid="{D5CDD505-2E9C-101B-9397-08002B2CF9AE}" pid="47" name="NOSE25">
    <vt:lpwstr/>
  </property>
  <property fmtid="{D5CDD505-2E9C-101B-9397-08002B2CF9AE}" pid="48" name="NOSE35">
    <vt:lpwstr/>
  </property>
  <property fmtid="{D5CDD505-2E9C-101B-9397-08002B2CF9AE}" pid="49" name="NOSE16">
    <vt:lpwstr/>
  </property>
  <property fmtid="{D5CDD505-2E9C-101B-9397-08002B2CF9AE}" pid="50" name="NOSE26">
    <vt:lpwstr/>
  </property>
  <property fmtid="{D5CDD505-2E9C-101B-9397-08002B2CF9AE}" pid="51" name="NOSE36">
    <vt:lpwstr/>
  </property>
  <property fmtid="{D5CDD505-2E9C-101B-9397-08002B2CF9AE}" pid="52" name="NOSE17">
    <vt:lpwstr/>
  </property>
  <property fmtid="{D5CDD505-2E9C-101B-9397-08002B2CF9AE}" pid="53" name="NOSE27">
    <vt:lpwstr/>
  </property>
  <property fmtid="{D5CDD505-2E9C-101B-9397-08002B2CF9AE}" pid="54" name="NOSE37">
    <vt:lpwstr/>
  </property>
  <property fmtid="{D5CDD505-2E9C-101B-9397-08002B2CF9AE}" pid="55" name="NOSE18">
    <vt:lpwstr/>
  </property>
  <property fmtid="{D5CDD505-2E9C-101B-9397-08002B2CF9AE}" pid="56" name="NOSE28">
    <vt:lpwstr/>
  </property>
  <property fmtid="{D5CDD505-2E9C-101B-9397-08002B2CF9AE}" pid="57" name="NOSE38">
    <vt:lpwstr/>
  </property>
  <property fmtid="{D5CDD505-2E9C-101B-9397-08002B2CF9AE}" pid="58" name="NOSE19">
    <vt:lpwstr/>
  </property>
  <property fmtid="{D5CDD505-2E9C-101B-9397-08002B2CF9AE}" pid="59" name="NOSE29">
    <vt:lpwstr/>
  </property>
  <property fmtid="{D5CDD505-2E9C-101B-9397-08002B2CF9AE}" pid="60" name="NOSE39">
    <vt:lpwstr/>
  </property>
  <property fmtid="{D5CDD505-2E9C-101B-9397-08002B2CF9AE}" pid="61" name="NOSE110">
    <vt:lpwstr/>
  </property>
  <property fmtid="{D5CDD505-2E9C-101B-9397-08002B2CF9AE}" pid="62" name="NOSE210">
    <vt:lpwstr/>
  </property>
  <property fmtid="{D5CDD505-2E9C-101B-9397-08002B2CF9AE}" pid="63" name="NOSE310">
    <vt:lpwstr/>
  </property>
  <property fmtid="{D5CDD505-2E9C-101B-9397-08002B2CF9AE}" pid="64" name="PadiDate">
    <vt:lpwstr>20130117</vt:lpwstr>
  </property>
  <property fmtid="{D5CDD505-2E9C-101B-9397-08002B2CF9AE}" pid="65" name="LINKK1">
    <vt:lpwstr/>
  </property>
  <property fmtid="{D5CDD505-2E9C-101B-9397-08002B2CF9AE}" pid="66" name="LINKK2">
    <vt:lpwstr/>
  </property>
  <property fmtid="{D5CDD505-2E9C-101B-9397-08002B2CF9AE}" pid="67" name="LINKK3">
    <vt:lpwstr/>
  </property>
  <property fmtid="{D5CDD505-2E9C-101B-9397-08002B2CF9AE}" pid="68" name="LINKK4">
    <vt:lpwstr/>
  </property>
  <property fmtid="{D5CDD505-2E9C-101B-9397-08002B2CF9AE}" pid="69" name="LINKK5">
    <vt:lpwstr/>
  </property>
  <property fmtid="{D5CDD505-2E9C-101B-9397-08002B2CF9AE}" pid="70" name="LAWLISTTMP1">
    <vt:lpwstr>91073/145;204.a;210;011a.a;152.d;001;147;151.a;151.b</vt:lpwstr>
  </property>
  <property fmtid="{D5CDD505-2E9C-101B-9397-08002B2CF9AE}" pid="71" name="LAWLISTTMP2">
    <vt:lpwstr>74849/030</vt:lpwstr>
  </property>
  <property fmtid="{D5CDD505-2E9C-101B-9397-08002B2CF9AE}" pid="72" name="LAWLISTTMP3">
    <vt:lpwstr>74683/002.10:3;002;006.a</vt:lpwstr>
  </property>
</Properties>
</file>