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jc w:val="center"/>
        <w:tblLook w:val="0000"/>
      </w:tblPr>
      <w:tblGrid>
        <w:gridCol w:w="5047"/>
        <w:gridCol w:w="3674"/>
      </w:tblGrid>
      <w:tr w:rsidR="006055C2" w:rsidRPr="007622BA">
        <w:trPr>
          <w:trHeight w:hRule="exact" w:val="418"/>
          <w:jc w:val="center"/>
        </w:trPr>
        <w:tc>
          <w:tcPr>
            <w:tcW w:w="8721" w:type="dxa"/>
            <w:gridSpan w:val="2"/>
          </w:tcPr>
          <w:p w:rsidR="006055C2" w:rsidRPr="007622BA" w:rsidRDefault="007622BA">
            <w:pPr>
              <w:pStyle w:val="a3"/>
              <w:jc w:val="center"/>
              <w:rPr>
                <w:rFonts w:ascii="Tahoma" w:hAnsi="Tahoma" w:cs="Tahoma"/>
                <w:color w:val="000080"/>
                <w:rtl/>
              </w:rPr>
            </w:pPr>
            <w:r w:rsidRPr="007622BA">
              <w:rPr>
                <w:rFonts w:ascii="Tahoma" w:hAnsi="Tahoma" w:cs="Tahoma" w:hint="cs"/>
                <w:b/>
                <w:bCs/>
                <w:color w:val="000080"/>
                <w:rtl/>
              </w:rPr>
              <w:t>בית הדין האזורי לעבודה בתל אביב-יפו</w:t>
            </w:r>
          </w:p>
        </w:tc>
      </w:tr>
      <w:tr w:rsidR="006055C2" w:rsidRPr="007622BA">
        <w:trPr>
          <w:trHeight w:val="337"/>
          <w:jc w:val="center"/>
        </w:trPr>
        <w:tc>
          <w:tcPr>
            <w:tcW w:w="5047" w:type="dxa"/>
          </w:tcPr>
          <w:p w:rsidR="006055C2" w:rsidRPr="007622BA" w:rsidRDefault="006055C2">
            <w:pPr>
              <w:rPr>
                <w:b/>
                <w:bCs/>
                <w:sz w:val="26"/>
                <w:szCs w:val="26"/>
                <w:rtl/>
              </w:rPr>
            </w:pPr>
          </w:p>
        </w:tc>
        <w:tc>
          <w:tcPr>
            <w:tcW w:w="3674" w:type="dxa"/>
          </w:tcPr>
          <w:p w:rsidR="006055C2" w:rsidRPr="007622BA" w:rsidRDefault="006055C2">
            <w:pPr>
              <w:pStyle w:val="a3"/>
              <w:jc w:val="right"/>
              <w:rPr>
                <w:b/>
                <w:bCs/>
                <w:sz w:val="26"/>
                <w:szCs w:val="26"/>
                <w:rtl/>
              </w:rPr>
            </w:pPr>
          </w:p>
        </w:tc>
      </w:tr>
      <w:tr w:rsidR="006055C2" w:rsidRPr="007622BA">
        <w:trPr>
          <w:trHeight w:val="337"/>
          <w:jc w:val="center"/>
        </w:trPr>
        <w:tc>
          <w:tcPr>
            <w:tcW w:w="8721" w:type="dxa"/>
            <w:gridSpan w:val="2"/>
          </w:tcPr>
          <w:p w:rsidR="006055C2" w:rsidRPr="007622BA" w:rsidRDefault="007622BA" w:rsidP="00FD11F5">
            <w:pPr>
              <w:rPr>
                <w:rtl/>
              </w:rPr>
            </w:pPr>
            <w:r w:rsidRPr="007622BA">
              <w:rPr>
                <w:b/>
                <w:bCs/>
                <w:sz w:val="26"/>
                <w:szCs w:val="26"/>
                <w:rtl/>
              </w:rPr>
              <w:t>תע"א 12015-09 רומן גליזר נ' בית הספר המרכזי למלונאות בע"מ</w:t>
            </w:r>
          </w:p>
        </w:tc>
      </w:tr>
    </w:tbl>
    <w:p w:rsidR="006055C2" w:rsidRPr="007622BA" w:rsidRDefault="007622BA" w:rsidP="00C6415E">
      <w:pPr>
        <w:pStyle w:val="a3"/>
        <w:rPr>
          <w:rtl/>
        </w:rPr>
      </w:pPr>
      <w:r w:rsidRPr="007622BA">
        <w:rPr>
          <w:rtl/>
        </w:rPr>
        <w:t xml:space="preserve"> </w:t>
      </w:r>
    </w:p>
    <w:tbl>
      <w:tblPr>
        <w:tblStyle w:val="a5"/>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3"/>
        <w:gridCol w:w="2326"/>
        <w:gridCol w:w="5571"/>
      </w:tblGrid>
      <w:tr w:rsidR="006055C2" w:rsidRPr="007622BA">
        <w:trPr>
          <w:jc w:val="center"/>
        </w:trPr>
        <w:tc>
          <w:tcPr>
            <w:tcW w:w="923" w:type="dxa"/>
          </w:tcPr>
          <w:p w:rsidR="006055C2" w:rsidRPr="007622BA" w:rsidRDefault="007622BA">
            <w:pPr>
              <w:jc w:val="both"/>
              <w:rPr>
                <w:rFonts w:ascii="Arial" w:hAnsi="Arial"/>
                <w:b/>
                <w:bCs/>
                <w:sz w:val="26"/>
                <w:szCs w:val="26"/>
                <w:rtl/>
              </w:rPr>
            </w:pPr>
            <w:r w:rsidRPr="007622BA">
              <w:rPr>
                <w:rFonts w:ascii="Arial" w:hAnsi="Arial" w:hint="cs"/>
                <w:b/>
                <w:bCs/>
                <w:sz w:val="26"/>
                <w:szCs w:val="26"/>
                <w:rtl/>
              </w:rPr>
              <w:t>ב</w:t>
            </w:r>
            <w:r w:rsidRPr="007622BA">
              <w:rPr>
                <w:rFonts w:ascii="Arial" w:hAnsi="Arial"/>
                <w:b/>
                <w:bCs/>
                <w:sz w:val="26"/>
                <w:szCs w:val="26"/>
                <w:rtl/>
              </w:rPr>
              <w:t xml:space="preserve">פני </w:t>
            </w:r>
            <w:r w:rsidRPr="007622BA">
              <w:rPr>
                <w:rFonts w:ascii="Arial" w:hAnsi="Arial" w:hint="cs"/>
                <w:b/>
                <w:bCs/>
                <w:sz w:val="26"/>
                <w:szCs w:val="26"/>
                <w:rtl/>
              </w:rPr>
              <w:t>:</w:t>
            </w:r>
          </w:p>
        </w:tc>
        <w:tc>
          <w:tcPr>
            <w:tcW w:w="7897" w:type="dxa"/>
            <w:gridSpan w:val="2"/>
          </w:tcPr>
          <w:p w:rsidR="006055C2" w:rsidRPr="007622BA" w:rsidRDefault="007622BA">
            <w:pPr>
              <w:spacing w:line="360" w:lineRule="auto"/>
              <w:rPr>
                <w:rFonts w:ascii="Arial" w:hAnsi="Arial"/>
                <w:b/>
                <w:bCs/>
                <w:sz w:val="26"/>
                <w:szCs w:val="26"/>
                <w:rtl/>
              </w:rPr>
            </w:pPr>
            <w:r w:rsidRPr="007622BA">
              <w:rPr>
                <w:rFonts w:ascii="Arial" w:hAnsi="Arial" w:hint="cs"/>
                <w:b/>
                <w:bCs/>
                <w:sz w:val="26"/>
                <w:szCs w:val="26"/>
                <w:rtl/>
              </w:rPr>
              <w:t>כב' ה</w:t>
            </w:r>
            <w:r w:rsidRPr="007622BA">
              <w:rPr>
                <w:rFonts w:ascii="Arial" w:hAnsi="Arial"/>
                <w:b/>
                <w:bCs/>
                <w:sz w:val="26"/>
                <w:szCs w:val="26"/>
                <w:rtl/>
              </w:rPr>
              <w:t>שופטת</w:t>
            </w:r>
            <w:r w:rsidRPr="007622BA">
              <w:rPr>
                <w:rFonts w:ascii="Arial" w:hAnsi="Arial" w:hint="cs"/>
                <w:b/>
                <w:bCs/>
                <w:sz w:val="26"/>
                <w:szCs w:val="26"/>
                <w:rtl/>
              </w:rPr>
              <w:t xml:space="preserve"> ד"ר</w:t>
            </w:r>
            <w:r w:rsidRPr="007622BA">
              <w:rPr>
                <w:rFonts w:ascii="Arial" w:hAnsi="Arial"/>
                <w:b/>
                <w:bCs/>
                <w:sz w:val="26"/>
                <w:szCs w:val="26"/>
                <w:rtl/>
              </w:rPr>
              <w:t xml:space="preserve"> אריאלה גילצר</w:t>
            </w:r>
            <w:r w:rsidRPr="007622BA">
              <w:rPr>
                <w:rFonts w:ascii="Arial" w:hAnsi="Arial" w:hint="cs"/>
                <w:b/>
                <w:bCs/>
                <w:sz w:val="26"/>
                <w:szCs w:val="26"/>
                <w:rtl/>
              </w:rPr>
              <w:t xml:space="preserve">-כץ  </w:t>
            </w:r>
            <w:r w:rsidRPr="007622BA">
              <w:rPr>
                <w:rFonts w:ascii="Arial" w:hAnsi="Arial" w:hint="eastAsia"/>
                <w:b/>
                <w:bCs/>
                <w:sz w:val="26"/>
                <w:szCs w:val="26"/>
                <w:rtl/>
              </w:rPr>
              <w:t>– אב</w:t>
            </w:r>
            <w:r w:rsidRPr="007622BA">
              <w:rPr>
                <w:rFonts w:ascii="Arial" w:hAnsi="Arial" w:hint="cs"/>
                <w:b/>
                <w:bCs/>
                <w:sz w:val="26"/>
                <w:szCs w:val="26"/>
                <w:rtl/>
              </w:rPr>
              <w:t>"ד</w:t>
            </w:r>
          </w:p>
          <w:p w:rsidR="006055C2" w:rsidRPr="007622BA" w:rsidRDefault="007622BA">
            <w:pPr>
              <w:spacing w:line="360" w:lineRule="auto"/>
              <w:rPr>
                <w:rFonts w:ascii="Arial" w:hAnsi="Arial" w:cs="FrankRuehl"/>
                <w:sz w:val="26"/>
                <w:szCs w:val="26"/>
                <w:highlight w:val="yellow"/>
              </w:rPr>
            </w:pPr>
            <w:r w:rsidRPr="007622BA">
              <w:rPr>
                <w:rFonts w:ascii="Arial" w:hAnsi="Arial" w:hint="cs"/>
                <w:b/>
                <w:bCs/>
                <w:sz w:val="26"/>
                <w:szCs w:val="26"/>
                <w:rtl/>
              </w:rPr>
              <w:t xml:space="preserve">נציג עובדים </w:t>
            </w:r>
            <w:r w:rsidRPr="007622BA">
              <w:rPr>
                <w:rFonts w:ascii="Arial" w:hAnsi="Arial"/>
                <w:b/>
                <w:bCs/>
                <w:sz w:val="26"/>
                <w:szCs w:val="26"/>
                <w:rtl/>
              </w:rPr>
              <w:t>–</w:t>
            </w:r>
            <w:r w:rsidRPr="007622BA">
              <w:rPr>
                <w:rFonts w:ascii="Arial" w:hAnsi="Arial" w:hint="cs"/>
                <w:b/>
                <w:bCs/>
                <w:sz w:val="26"/>
                <w:szCs w:val="26"/>
                <w:rtl/>
              </w:rPr>
              <w:t xml:space="preserve"> מר ויסאם עזאם</w:t>
            </w:r>
          </w:p>
        </w:tc>
      </w:tr>
      <w:tr w:rsidR="006055C2" w:rsidRPr="007622BA">
        <w:trPr>
          <w:jc w:val="center"/>
        </w:trPr>
        <w:tc>
          <w:tcPr>
            <w:tcW w:w="3249" w:type="dxa"/>
            <w:gridSpan w:val="2"/>
          </w:tcPr>
          <w:p w:rsidR="006055C2" w:rsidRPr="007622BA" w:rsidRDefault="006055C2">
            <w:pPr>
              <w:bidi w:val="0"/>
              <w:jc w:val="right"/>
              <w:rPr>
                <w:rFonts w:ascii="Arial" w:hAnsi="Arial"/>
                <w:b/>
                <w:bCs/>
                <w:sz w:val="26"/>
                <w:szCs w:val="26"/>
              </w:rPr>
            </w:pPr>
            <w:bookmarkStart w:id="0" w:name="FirstAppellant"/>
            <w:bookmarkStart w:id="1" w:name="FirstLawyer"/>
            <w:bookmarkStart w:id="2" w:name="LastJudge"/>
            <w:bookmarkEnd w:id="2"/>
          </w:p>
          <w:p w:rsidR="006055C2" w:rsidRPr="007622BA" w:rsidRDefault="007622BA">
            <w:pPr>
              <w:bidi w:val="0"/>
              <w:jc w:val="right"/>
              <w:rPr>
                <w:rFonts w:ascii="Arial" w:hAnsi="Arial"/>
                <w:b/>
                <w:bCs/>
                <w:sz w:val="26"/>
                <w:szCs w:val="26"/>
                <w:rtl/>
              </w:rPr>
            </w:pPr>
            <w:r w:rsidRPr="007622BA">
              <w:rPr>
                <w:rFonts w:ascii="Arial" w:hAnsi="Arial" w:hint="cs"/>
                <w:b/>
                <w:bCs/>
                <w:sz w:val="26"/>
                <w:szCs w:val="26"/>
                <w:rtl/>
              </w:rPr>
              <w:t>ה</w:t>
            </w:r>
            <w:r w:rsidRPr="007622BA">
              <w:rPr>
                <w:rFonts w:ascii="Arial" w:hAnsi="Arial"/>
                <w:b/>
                <w:bCs/>
                <w:sz w:val="26"/>
                <w:szCs w:val="26"/>
                <w:rtl/>
              </w:rPr>
              <w:t>תובע</w:t>
            </w:r>
            <w:r w:rsidRPr="007622BA">
              <w:rPr>
                <w:rFonts w:ascii="Arial" w:hAnsi="Arial" w:hint="cs"/>
                <w:b/>
                <w:bCs/>
                <w:sz w:val="26"/>
                <w:szCs w:val="26"/>
                <w:rtl/>
              </w:rPr>
              <w:t>:</w:t>
            </w:r>
          </w:p>
        </w:tc>
        <w:tc>
          <w:tcPr>
            <w:tcW w:w="5571" w:type="dxa"/>
          </w:tcPr>
          <w:p w:rsidR="006055C2" w:rsidRPr="007622BA" w:rsidRDefault="006055C2">
            <w:pPr>
              <w:rPr>
                <w:rFonts w:ascii="Arial" w:hAnsi="Arial"/>
                <w:b/>
                <w:bCs/>
                <w:sz w:val="26"/>
                <w:szCs w:val="26"/>
              </w:rPr>
            </w:pPr>
          </w:p>
          <w:p w:rsidR="006055C2" w:rsidRPr="007622BA" w:rsidRDefault="007622BA">
            <w:pPr>
              <w:spacing w:line="360" w:lineRule="auto"/>
              <w:rPr>
                <w:rFonts w:ascii="Arial" w:hAnsi="Arial"/>
                <w:b/>
                <w:bCs/>
                <w:sz w:val="26"/>
                <w:szCs w:val="26"/>
              </w:rPr>
            </w:pPr>
            <w:r w:rsidRPr="007622BA">
              <w:rPr>
                <w:rFonts w:ascii="Arial" w:hAnsi="Arial"/>
                <w:b/>
                <w:bCs/>
                <w:sz w:val="26"/>
                <w:szCs w:val="26"/>
                <w:rtl/>
              </w:rPr>
              <w:t>רומן גליזר</w:t>
            </w:r>
            <w:r w:rsidRPr="007622BA">
              <w:rPr>
                <w:rFonts w:ascii="Arial" w:hAnsi="Arial" w:hint="cs"/>
                <w:b/>
                <w:bCs/>
                <w:sz w:val="26"/>
                <w:szCs w:val="26"/>
                <w:rtl/>
              </w:rPr>
              <w:t xml:space="preserve">,   ת.ז.- </w:t>
            </w:r>
            <w:r w:rsidRPr="007622BA">
              <w:rPr>
                <w:rFonts w:ascii="Arial" w:hAnsi="Arial"/>
                <w:b/>
                <w:bCs/>
                <w:sz w:val="26"/>
                <w:szCs w:val="26"/>
                <w:rtl/>
              </w:rPr>
              <w:t>016608796</w:t>
            </w:r>
            <w:r w:rsidRPr="007622BA">
              <w:rPr>
                <w:rFonts w:ascii="Arial" w:hAnsi="Arial" w:hint="cs"/>
                <w:b/>
                <w:bCs/>
                <w:sz w:val="26"/>
                <w:szCs w:val="26"/>
                <w:rtl/>
              </w:rPr>
              <w:t xml:space="preserve"> </w:t>
            </w:r>
          </w:p>
          <w:p w:rsidR="006055C2" w:rsidRPr="007622BA" w:rsidRDefault="007622BA">
            <w:pPr>
              <w:rPr>
                <w:b/>
                <w:bCs/>
                <w:sz w:val="26"/>
                <w:szCs w:val="26"/>
                <w:rtl/>
              </w:rPr>
            </w:pPr>
            <w:r w:rsidRPr="007622BA">
              <w:rPr>
                <w:rFonts w:hint="cs"/>
                <w:b/>
                <w:bCs/>
                <w:sz w:val="26"/>
                <w:szCs w:val="26"/>
                <w:rtl/>
              </w:rPr>
              <w:t>ע"י ב"כ</w:t>
            </w:r>
            <w:r w:rsidRPr="007622BA">
              <w:rPr>
                <w:b/>
                <w:bCs/>
                <w:sz w:val="26"/>
                <w:szCs w:val="26"/>
              </w:rPr>
              <w:t xml:space="preserve"> </w:t>
            </w:r>
            <w:r w:rsidRPr="007622BA">
              <w:rPr>
                <w:rFonts w:hint="cs"/>
                <w:b/>
                <w:bCs/>
                <w:sz w:val="26"/>
                <w:szCs w:val="26"/>
                <w:rtl/>
              </w:rPr>
              <w:t>עו"ד עודד ערמוני</w:t>
            </w:r>
          </w:p>
        </w:tc>
      </w:tr>
      <w:bookmarkEnd w:id="0"/>
      <w:bookmarkEnd w:id="1"/>
      <w:tr w:rsidR="006055C2" w:rsidRPr="007622BA">
        <w:trPr>
          <w:jc w:val="center"/>
        </w:trPr>
        <w:tc>
          <w:tcPr>
            <w:tcW w:w="8820" w:type="dxa"/>
            <w:gridSpan w:val="3"/>
          </w:tcPr>
          <w:p w:rsidR="006055C2" w:rsidRPr="007622BA" w:rsidRDefault="006055C2">
            <w:pPr>
              <w:jc w:val="center"/>
              <w:rPr>
                <w:rFonts w:ascii="Arial" w:hAnsi="Arial"/>
                <w:b/>
                <w:bCs/>
                <w:sz w:val="26"/>
                <w:szCs w:val="26"/>
                <w:rtl/>
              </w:rPr>
            </w:pPr>
          </w:p>
          <w:p w:rsidR="006055C2" w:rsidRPr="007622BA" w:rsidRDefault="007622BA">
            <w:pPr>
              <w:jc w:val="center"/>
              <w:rPr>
                <w:rFonts w:ascii="Arial" w:hAnsi="Arial"/>
                <w:b/>
                <w:bCs/>
                <w:sz w:val="26"/>
                <w:szCs w:val="26"/>
                <w:rtl/>
              </w:rPr>
            </w:pPr>
            <w:r w:rsidRPr="007622BA">
              <w:rPr>
                <w:rFonts w:ascii="Arial" w:hAnsi="Arial" w:hint="cs"/>
                <w:b/>
                <w:bCs/>
                <w:sz w:val="26"/>
                <w:szCs w:val="26"/>
                <w:rtl/>
              </w:rPr>
              <w:t xml:space="preserve">                          - נ ג ד -</w:t>
            </w:r>
          </w:p>
        </w:tc>
      </w:tr>
      <w:tr w:rsidR="006055C2" w:rsidRPr="007622BA">
        <w:trPr>
          <w:jc w:val="center"/>
        </w:trPr>
        <w:tc>
          <w:tcPr>
            <w:tcW w:w="3249" w:type="dxa"/>
            <w:gridSpan w:val="2"/>
          </w:tcPr>
          <w:p w:rsidR="006055C2" w:rsidRPr="007622BA" w:rsidRDefault="006055C2">
            <w:pPr>
              <w:rPr>
                <w:rFonts w:ascii="Arial" w:hAnsi="Arial"/>
                <w:b/>
                <w:bCs/>
                <w:sz w:val="26"/>
                <w:szCs w:val="26"/>
                <w:rtl/>
              </w:rPr>
            </w:pPr>
          </w:p>
          <w:p w:rsidR="006055C2" w:rsidRPr="007622BA" w:rsidRDefault="007622BA">
            <w:pPr>
              <w:rPr>
                <w:rFonts w:ascii="Arial" w:hAnsi="Arial"/>
                <w:b/>
                <w:bCs/>
                <w:sz w:val="26"/>
                <w:szCs w:val="26"/>
              </w:rPr>
            </w:pPr>
            <w:r w:rsidRPr="007622BA">
              <w:rPr>
                <w:rFonts w:ascii="Arial" w:hAnsi="Arial" w:hint="cs"/>
                <w:b/>
                <w:bCs/>
                <w:sz w:val="26"/>
                <w:szCs w:val="26"/>
                <w:rtl/>
              </w:rPr>
              <w:t>ה</w:t>
            </w:r>
            <w:r w:rsidRPr="007622BA">
              <w:rPr>
                <w:rFonts w:ascii="Arial" w:hAnsi="Arial"/>
                <w:b/>
                <w:bCs/>
                <w:sz w:val="26"/>
                <w:szCs w:val="26"/>
                <w:rtl/>
              </w:rPr>
              <w:t>נתבע</w:t>
            </w:r>
            <w:r w:rsidRPr="007622BA">
              <w:rPr>
                <w:rFonts w:ascii="Arial" w:hAnsi="Arial" w:hint="cs"/>
                <w:b/>
                <w:bCs/>
                <w:sz w:val="26"/>
                <w:szCs w:val="26"/>
                <w:rtl/>
              </w:rPr>
              <w:t>ת:</w:t>
            </w:r>
          </w:p>
        </w:tc>
        <w:tc>
          <w:tcPr>
            <w:tcW w:w="5571" w:type="dxa"/>
          </w:tcPr>
          <w:p w:rsidR="006055C2" w:rsidRPr="007622BA" w:rsidRDefault="006055C2">
            <w:pPr>
              <w:rPr>
                <w:rFonts w:ascii="Arial" w:hAnsi="Arial"/>
                <w:b/>
                <w:bCs/>
                <w:sz w:val="26"/>
                <w:szCs w:val="26"/>
                <w:rtl/>
              </w:rPr>
            </w:pPr>
          </w:p>
          <w:p w:rsidR="006055C2" w:rsidRPr="007622BA" w:rsidRDefault="007622BA">
            <w:pPr>
              <w:spacing w:line="360" w:lineRule="auto"/>
              <w:rPr>
                <w:rFonts w:ascii="Arial" w:hAnsi="Arial"/>
                <w:b/>
                <w:bCs/>
                <w:sz w:val="26"/>
                <w:szCs w:val="26"/>
                <w:rtl/>
              </w:rPr>
            </w:pPr>
            <w:r w:rsidRPr="007622BA">
              <w:rPr>
                <w:rFonts w:ascii="Arial" w:hAnsi="Arial"/>
                <w:b/>
                <w:bCs/>
                <w:sz w:val="26"/>
                <w:szCs w:val="26"/>
                <w:rtl/>
              </w:rPr>
              <w:t>בית הספר המרכזי למלונאות בע"מ</w:t>
            </w:r>
            <w:r w:rsidRPr="007622BA">
              <w:rPr>
                <w:rFonts w:ascii="Arial" w:hAnsi="Arial" w:hint="cs"/>
                <w:b/>
                <w:bCs/>
                <w:sz w:val="26"/>
                <w:szCs w:val="26"/>
                <w:rtl/>
              </w:rPr>
              <w:t xml:space="preserve">,   ח.פ.- </w:t>
            </w:r>
            <w:r w:rsidRPr="007622BA">
              <w:rPr>
                <w:rFonts w:ascii="Arial" w:hAnsi="Arial"/>
                <w:b/>
                <w:bCs/>
                <w:sz w:val="26"/>
                <w:szCs w:val="26"/>
                <w:rtl/>
              </w:rPr>
              <w:t>510328636</w:t>
            </w:r>
            <w:r w:rsidRPr="007622BA">
              <w:rPr>
                <w:rFonts w:ascii="Arial" w:hAnsi="Arial" w:hint="cs"/>
                <w:b/>
                <w:bCs/>
                <w:sz w:val="26"/>
                <w:szCs w:val="26"/>
                <w:rtl/>
              </w:rPr>
              <w:t xml:space="preserve"> </w:t>
            </w:r>
          </w:p>
          <w:p w:rsidR="006055C2" w:rsidRPr="007622BA" w:rsidRDefault="007622BA">
            <w:pPr>
              <w:rPr>
                <w:b/>
                <w:bCs/>
                <w:sz w:val="26"/>
                <w:szCs w:val="26"/>
                <w:rtl/>
              </w:rPr>
            </w:pPr>
            <w:r w:rsidRPr="007622BA">
              <w:rPr>
                <w:rFonts w:hint="cs"/>
                <w:b/>
                <w:bCs/>
                <w:sz w:val="26"/>
                <w:szCs w:val="26"/>
                <w:rtl/>
              </w:rPr>
              <w:t>ע"י ב"כ עו"ד חיים כהן וצפנת שובל</w:t>
            </w:r>
          </w:p>
        </w:tc>
      </w:tr>
    </w:tbl>
    <w:p w:rsidR="003C448A" w:rsidRDefault="003C448A">
      <w:pPr>
        <w:suppressLineNumbers/>
        <w:rPr>
          <w:rFonts w:hint="cs"/>
          <w:rtl/>
        </w:rPr>
      </w:pPr>
    </w:p>
    <w:p w:rsidR="00FD11F5" w:rsidRDefault="00FD11F5" w:rsidP="00FD11F5">
      <w:pPr>
        <w:pBdr>
          <w:top w:val="single" w:sz="4" w:space="1" w:color="auto"/>
          <w:bottom w:val="single" w:sz="4" w:space="1" w:color="auto"/>
        </w:pBdr>
        <w:spacing w:after="120" w:line="320" w:lineRule="exact"/>
        <w:jc w:val="both"/>
        <w:rPr>
          <w:rFonts w:cs="FrankRuehl" w:hint="cs"/>
          <w:szCs w:val="26"/>
          <w:rtl/>
        </w:rPr>
      </w:pPr>
      <w:bookmarkStart w:id="3" w:name="ABSTRACT_START"/>
      <w:bookmarkEnd w:id="3"/>
      <w:r>
        <w:rPr>
          <w:rFonts w:cs="FrankRuehl"/>
          <w:szCs w:val="26"/>
          <w:rtl/>
        </w:rPr>
        <w:t>מיני-רציו:</w:t>
      </w:r>
    </w:p>
    <w:p w:rsidR="00FD11F5" w:rsidRPr="00FD11F5" w:rsidRDefault="00FD11F5" w:rsidP="00FD11F5">
      <w:pPr>
        <w:pBdr>
          <w:top w:val="single" w:sz="4" w:space="1" w:color="auto"/>
          <w:bottom w:val="single" w:sz="4" w:space="1" w:color="auto"/>
        </w:pBdr>
        <w:spacing w:after="120" w:line="320" w:lineRule="exact"/>
        <w:jc w:val="both"/>
        <w:rPr>
          <w:rFonts w:cs="FrankRuehl"/>
          <w:szCs w:val="26"/>
          <w:rtl/>
        </w:rPr>
      </w:pPr>
      <w:r>
        <w:rPr>
          <w:rFonts w:cs="FrankRuehl" w:hint="cs"/>
          <w:szCs w:val="26"/>
          <w:rtl/>
        </w:rPr>
        <w:t xml:space="preserve">* </w:t>
      </w:r>
      <w:r w:rsidRPr="00FD11F5">
        <w:rPr>
          <w:rFonts w:cs="FrankRuehl"/>
          <w:szCs w:val="26"/>
          <w:rtl/>
        </w:rPr>
        <w:t>התובע, שפוטר בשל התנהלות מקצועית שגויה, אינו זכאי לפיצויי פיטורים מוגדלים; התובע זכאי לתשלום פיצויי פיטורים לפי ההסכם הקיבוצי בענף המלונאות ולשחרור הכספים המצויים בקרן בעבור פיצויי פיטורים. מאחר שהתובע כבר קיבל את הסכום המגיע לו מהנתבעת, התביעה נדחתה.</w:t>
      </w:r>
    </w:p>
    <w:p w:rsidR="00FD11F5" w:rsidRDefault="00FD11F5" w:rsidP="00FD11F5">
      <w:pPr>
        <w:pBdr>
          <w:top w:val="single" w:sz="4" w:space="1" w:color="auto"/>
          <w:bottom w:val="single" w:sz="4" w:space="1" w:color="auto"/>
        </w:pBdr>
        <w:spacing w:after="120" w:line="320" w:lineRule="exact"/>
        <w:jc w:val="both"/>
        <w:rPr>
          <w:rFonts w:cs="FrankRuehl"/>
          <w:szCs w:val="26"/>
          <w:rtl/>
        </w:rPr>
      </w:pPr>
      <w:r>
        <w:rPr>
          <w:rFonts w:cs="FrankRuehl"/>
          <w:szCs w:val="26"/>
          <w:rtl/>
        </w:rPr>
        <w:t>* עבודה – פיטורין – פיצויי פיטורין</w:t>
      </w:r>
    </w:p>
    <w:p w:rsidR="00FD11F5" w:rsidRDefault="00FD11F5" w:rsidP="00FD11F5">
      <w:pPr>
        <w:pBdr>
          <w:top w:val="single" w:sz="4" w:space="1" w:color="auto"/>
          <w:bottom w:val="single" w:sz="4" w:space="1" w:color="auto"/>
        </w:pBdr>
        <w:spacing w:after="120" w:line="320" w:lineRule="exact"/>
        <w:jc w:val="both"/>
        <w:rPr>
          <w:rFonts w:cs="FrankRuehl"/>
          <w:szCs w:val="26"/>
          <w:rtl/>
        </w:rPr>
      </w:pPr>
      <w:r>
        <w:rPr>
          <w:rFonts w:cs="FrankRuehl"/>
          <w:szCs w:val="26"/>
          <w:rtl/>
        </w:rPr>
        <w:t>* עבודה – פיצויי פיטורין – זכות לפיצויים</w:t>
      </w:r>
    </w:p>
    <w:p w:rsidR="00FD11F5" w:rsidRDefault="00FD11F5" w:rsidP="00FD11F5">
      <w:pPr>
        <w:pBdr>
          <w:top w:val="single" w:sz="4" w:space="1" w:color="auto"/>
          <w:bottom w:val="single" w:sz="4" w:space="1" w:color="auto"/>
        </w:pBdr>
        <w:spacing w:after="120" w:line="320" w:lineRule="exact"/>
        <w:jc w:val="both"/>
        <w:rPr>
          <w:rFonts w:cs="FrankRuehl"/>
          <w:szCs w:val="26"/>
          <w:rtl/>
        </w:rPr>
      </w:pPr>
      <w:r>
        <w:rPr>
          <w:rFonts w:cs="FrankRuehl"/>
          <w:szCs w:val="26"/>
          <w:rtl/>
        </w:rPr>
        <w:t>* עבודה – פיצויי פיטורין – זכאות</w:t>
      </w:r>
    </w:p>
    <w:p w:rsidR="00FD11F5" w:rsidRDefault="00FD11F5" w:rsidP="00FD11F5">
      <w:pPr>
        <w:pBdr>
          <w:top w:val="single" w:sz="4" w:space="1" w:color="auto"/>
          <w:bottom w:val="single" w:sz="4" w:space="1" w:color="auto"/>
        </w:pBdr>
        <w:spacing w:after="120" w:line="320" w:lineRule="exact"/>
        <w:jc w:val="both"/>
        <w:rPr>
          <w:rFonts w:cs="FrankRuehl"/>
          <w:szCs w:val="26"/>
          <w:rtl/>
        </w:rPr>
      </w:pPr>
      <w:r>
        <w:rPr>
          <w:rFonts w:cs="FrankRuehl"/>
          <w:szCs w:val="26"/>
          <w:rtl/>
        </w:rPr>
        <w:t>* עבודה – פיצויי פיטורין – שלילתם</w:t>
      </w:r>
    </w:p>
    <w:p w:rsidR="00FD11F5" w:rsidRDefault="00FD11F5" w:rsidP="00FD11F5">
      <w:pPr>
        <w:pBdr>
          <w:top w:val="single" w:sz="4" w:space="1" w:color="auto"/>
          <w:bottom w:val="single" w:sz="4" w:space="1" w:color="auto"/>
        </w:pBdr>
        <w:spacing w:after="120" w:line="320" w:lineRule="exact"/>
        <w:jc w:val="both"/>
        <w:rPr>
          <w:rFonts w:cs="FrankRuehl"/>
          <w:szCs w:val="26"/>
          <w:rtl/>
        </w:rPr>
      </w:pPr>
      <w:r>
        <w:rPr>
          <w:rFonts w:cs="FrankRuehl"/>
          <w:szCs w:val="26"/>
          <w:rtl/>
        </w:rPr>
        <w:t>* עבודה – פיצויי פיטורין – פיצויי הלנה</w:t>
      </w:r>
    </w:p>
    <w:p w:rsidR="00FD11F5" w:rsidRDefault="00FD11F5" w:rsidP="00FD11F5">
      <w:pPr>
        <w:pBdr>
          <w:top w:val="single" w:sz="4" w:space="1" w:color="auto"/>
          <w:bottom w:val="single" w:sz="4" w:space="1" w:color="auto"/>
        </w:pBdr>
        <w:spacing w:after="120" w:line="320" w:lineRule="exact"/>
        <w:jc w:val="both"/>
        <w:rPr>
          <w:rFonts w:cs="FrankRuehl"/>
          <w:szCs w:val="26"/>
          <w:rtl/>
        </w:rPr>
      </w:pPr>
      <w:r>
        <w:rPr>
          <w:rFonts w:cs="FrankRuehl"/>
          <w:szCs w:val="26"/>
          <w:rtl/>
        </w:rPr>
        <w:t>* עבודה – חוזה עבודה – שינוי בפועל</w:t>
      </w:r>
    </w:p>
    <w:p w:rsidR="00FD11F5" w:rsidRDefault="00FD11F5" w:rsidP="00FD11F5">
      <w:pPr>
        <w:pBdr>
          <w:top w:val="single" w:sz="4" w:space="1" w:color="auto"/>
          <w:bottom w:val="single" w:sz="4" w:space="1" w:color="auto"/>
        </w:pBdr>
        <w:spacing w:after="120" w:line="320" w:lineRule="exact"/>
        <w:jc w:val="both"/>
        <w:rPr>
          <w:rFonts w:cs="FrankRuehl" w:hint="cs"/>
          <w:szCs w:val="26"/>
          <w:rtl/>
        </w:rPr>
      </w:pPr>
      <w:r>
        <w:rPr>
          <w:rFonts w:cs="FrankRuehl"/>
          <w:szCs w:val="26"/>
          <w:rtl/>
        </w:rPr>
        <w:t>* עבודה – חוזה עבודה – הסכם קיבוצי</w:t>
      </w:r>
    </w:p>
    <w:p w:rsidR="00FD11F5" w:rsidRDefault="00FD11F5" w:rsidP="00FD11F5">
      <w:pPr>
        <w:pBdr>
          <w:top w:val="single" w:sz="4" w:space="1" w:color="auto"/>
          <w:bottom w:val="single" w:sz="4" w:space="1" w:color="auto"/>
        </w:pBdr>
        <w:spacing w:after="120" w:line="320" w:lineRule="exact"/>
        <w:jc w:val="both"/>
        <w:rPr>
          <w:rFonts w:cs="FrankRuehl" w:hint="cs"/>
          <w:szCs w:val="26"/>
          <w:rtl/>
        </w:rPr>
      </w:pPr>
      <w:r>
        <w:rPr>
          <w:rFonts w:cs="FrankRuehl" w:hint="cs"/>
          <w:szCs w:val="26"/>
          <w:rtl/>
        </w:rPr>
        <w:t>.</w:t>
      </w:r>
    </w:p>
    <w:p w:rsidR="003C448A" w:rsidRPr="00FD11F5" w:rsidRDefault="003C448A" w:rsidP="00FD11F5">
      <w:pPr>
        <w:pBdr>
          <w:top w:val="single" w:sz="4" w:space="1" w:color="auto"/>
          <w:bottom w:val="single" w:sz="4" w:space="1" w:color="auto"/>
        </w:pBdr>
        <w:spacing w:after="120" w:line="320" w:lineRule="exact"/>
        <w:jc w:val="both"/>
        <w:rPr>
          <w:rFonts w:cs="FrankRuehl"/>
          <w:szCs w:val="26"/>
          <w:rtl/>
        </w:rPr>
      </w:pPr>
      <w:r w:rsidRPr="00FD11F5">
        <w:rPr>
          <w:rFonts w:cs="FrankRuehl"/>
          <w:szCs w:val="26"/>
          <w:rtl/>
        </w:rPr>
        <w:t xml:space="preserve">התובע עבד אצל התובעת החל משנת 1985 ומשנת 1992 שימש כחשב הנתבעת, שהיא חברה ממשלתית המפעילה מלון ובית ספר למקצועות המלונאות. במסגרת ביקורת נמצא תפקוד לקוי של התובע ובעקבות זאת פוטר התובע, לאחר שימוע, תוך שהוחלט כי הנתבעת תשלם לתובע 100% פיצויי פיטורים. עיקר הדיון נסב אודות השאלה האם זכאי התובע לפיצויי פיטורים מוגדלים או לפיצויי פיטורים בשיעור של 100%, או ל-28% בגין פיצויי פיטורים, בנוסף לשחרור פיצויי הפיטורים המופקדים לזכותו. </w:t>
      </w:r>
    </w:p>
    <w:p w:rsidR="003C448A" w:rsidRPr="00FD11F5" w:rsidRDefault="00FD11F5" w:rsidP="00FD11F5">
      <w:pPr>
        <w:pBdr>
          <w:top w:val="single" w:sz="4" w:space="1" w:color="auto"/>
          <w:bottom w:val="single" w:sz="4" w:space="1" w:color="auto"/>
        </w:pBdr>
        <w:spacing w:after="120" w:line="320" w:lineRule="exact"/>
        <w:jc w:val="both"/>
        <w:rPr>
          <w:rFonts w:cs="FrankRuehl" w:hint="cs"/>
          <w:szCs w:val="26"/>
          <w:rtl/>
        </w:rPr>
      </w:pPr>
      <w:r>
        <w:rPr>
          <w:rFonts w:cs="FrankRuehl" w:hint="cs"/>
          <w:szCs w:val="26"/>
          <w:rtl/>
        </w:rPr>
        <w:t>.</w:t>
      </w:r>
    </w:p>
    <w:p w:rsidR="003C448A" w:rsidRPr="00FD11F5" w:rsidRDefault="003C448A" w:rsidP="00FD11F5">
      <w:pPr>
        <w:pBdr>
          <w:top w:val="single" w:sz="4" w:space="1" w:color="auto"/>
          <w:bottom w:val="single" w:sz="4" w:space="1" w:color="auto"/>
        </w:pBdr>
        <w:spacing w:after="120" w:line="320" w:lineRule="exact"/>
        <w:jc w:val="both"/>
        <w:rPr>
          <w:rFonts w:cs="FrankRuehl"/>
          <w:szCs w:val="26"/>
        </w:rPr>
      </w:pPr>
      <w:r w:rsidRPr="00FD11F5">
        <w:rPr>
          <w:rFonts w:cs="FrankRuehl"/>
          <w:szCs w:val="26"/>
          <w:rtl/>
        </w:rPr>
        <w:t>בית הדין האזורי לעבודה דחה את התביעה ופסק כי:</w:t>
      </w:r>
    </w:p>
    <w:p w:rsidR="003C448A" w:rsidRPr="00FD11F5" w:rsidRDefault="003C448A" w:rsidP="00FD11F5">
      <w:pPr>
        <w:pBdr>
          <w:top w:val="single" w:sz="4" w:space="1" w:color="auto"/>
          <w:bottom w:val="single" w:sz="4" w:space="1" w:color="auto"/>
        </w:pBdr>
        <w:spacing w:after="120" w:line="320" w:lineRule="exact"/>
        <w:jc w:val="both"/>
        <w:rPr>
          <w:rFonts w:cs="FrankRuehl"/>
          <w:szCs w:val="26"/>
          <w:rtl/>
        </w:rPr>
      </w:pPr>
      <w:r w:rsidRPr="00FD11F5">
        <w:rPr>
          <w:rFonts w:cs="FrankRuehl"/>
          <w:szCs w:val="26"/>
          <w:rtl/>
        </w:rPr>
        <w:t xml:space="preserve">אשר לזכאות התובע לפיצויים מוגדלים, מהראיות התברר כי התובע פעל בהתנהלות כספית שגויה. אין זה המקרה של מתן פיצויים מוגדלים. לא הוכח כי נעשתה פנייה לרשויות המוסמכות בעניינו של התובע למתן פיצויי פיטורים מוגדלים או שהמקרה נכלל בגדר המקרים שבהם יש ליתן לעובדי הנתבעת פיצויים </w:t>
      </w:r>
      <w:r w:rsidRPr="00FD11F5">
        <w:rPr>
          <w:rFonts w:cs="FrankRuehl"/>
          <w:szCs w:val="26"/>
          <w:rtl/>
        </w:rPr>
        <w:lastRenderedPageBreak/>
        <w:t xml:space="preserve">מוגדלים. </w:t>
      </w:r>
      <w:r w:rsidRPr="00FD11F5">
        <w:rPr>
          <w:rStyle w:val="normal-h"/>
          <w:rFonts w:cs="FrankRuehl"/>
          <w:szCs w:val="26"/>
          <w:rtl/>
        </w:rPr>
        <w:t xml:space="preserve">התובע אף לא הציג ולו ראשית ראיה באשר להתחייבות הנתבעת לשלם לו פיצויי פיטורים מוגדלים. </w:t>
      </w:r>
    </w:p>
    <w:p w:rsidR="003C448A" w:rsidRPr="00FD11F5" w:rsidRDefault="003C448A" w:rsidP="00FD11F5">
      <w:pPr>
        <w:pBdr>
          <w:top w:val="single" w:sz="4" w:space="1" w:color="auto"/>
          <w:bottom w:val="single" w:sz="4" w:space="1" w:color="auto"/>
        </w:pBdr>
        <w:spacing w:after="120" w:line="320" w:lineRule="exact"/>
        <w:jc w:val="both"/>
        <w:rPr>
          <w:rStyle w:val="normal-h"/>
          <w:rFonts w:cs="FrankRuehl"/>
          <w:szCs w:val="26"/>
          <w:rtl/>
        </w:rPr>
      </w:pPr>
      <w:r w:rsidRPr="00FD11F5">
        <w:rPr>
          <w:rStyle w:val="normal-h"/>
          <w:rFonts w:cs="FrankRuehl"/>
          <w:szCs w:val="26"/>
          <w:rtl/>
        </w:rPr>
        <w:t xml:space="preserve">אשר לנפקותו המשפטית של הסכם העבודה האישי שנחתם בין הצדדים, אם נחתם עם עובד הסכם שבו מתחייבת מעבידה לשלם לו שכר מסוים ו/או תנאי שכר אחרים ובמהלך תקופת עבודתו מקבל העובד שכר נמוך יותר או תנאי שכר שונים מהמוסכם והצדדים שותקים, ייראה הדבר כאילו נתנו הצדדים הסכמתם לכך מלכתחילה. לכן, אין לעובד או למעביד עילת תביעה כנגד מעבידתו או כנגד עובדו מאחר שבשתיקתם הסכימו לשינוי בחוזה העבודה. </w:t>
      </w:r>
      <w:r w:rsidRPr="00FD11F5">
        <w:rPr>
          <w:rFonts w:cs="FrankRuehl"/>
          <w:szCs w:val="26"/>
          <w:rtl/>
        </w:rPr>
        <w:t>בענייננו ההפרשות שנעשו לזכות התובע היטיבו עמו לעומת הסכם העבודה האישי אך לא הוכח כי סוכם בין הצדדים על הגדלת ההפרשות. התובע הודה כי ההפרשות נעשו לפי הנהוג בנתבעת וכי הצדדים לא נהגו על פי הסכם העבודה ובשל תפקידו של התובע, ברי כי הוא ידע על כך. התובע הוא שהפריש מיוזמתו את חלקו של המעביד לגמל מעבר לנקבע בהסכם העבודה. אין לחייב את הנתבעת לשלם לתובע פיצויי פיטורים לפי ההסכם האישי תוך התעלמות מההפרשות לגמל שנעשו לאורך השנים מעל להתחייבות הנתבעת בחוזה. לכן הצדדים לא נהגו לפי ההסכם האישי, אי לכך לא ניתן לגזור את זכויותיו של התובע לפי הסכם העבודה האישי.</w:t>
      </w:r>
    </w:p>
    <w:p w:rsidR="003C448A" w:rsidRPr="00FD11F5" w:rsidRDefault="003C448A" w:rsidP="00FD11F5">
      <w:pPr>
        <w:pBdr>
          <w:top w:val="single" w:sz="4" w:space="1" w:color="auto"/>
          <w:bottom w:val="single" w:sz="4" w:space="1" w:color="auto"/>
        </w:pBdr>
        <w:spacing w:after="120" w:line="320" w:lineRule="exact"/>
        <w:jc w:val="both"/>
        <w:rPr>
          <w:rFonts w:cs="FrankRuehl"/>
          <w:szCs w:val="26"/>
          <w:rtl/>
        </w:rPr>
      </w:pPr>
      <w:r w:rsidRPr="00FD11F5">
        <w:rPr>
          <w:rStyle w:val="normal-h"/>
          <w:rFonts w:cs="FrankRuehl"/>
          <w:szCs w:val="26"/>
          <w:rtl/>
        </w:rPr>
        <w:t xml:space="preserve">זכויות התובע ייגזרו מההסכם הקיבוצי הכללי בענף המלונאות החל על הצדדים. לפי ההסכם העובד שהופרש בגינו לכל תקופת עבודתו פנסיה מקיפה יהיה זכאי בנוסף ל-28% ממשכורתו החודשית האחרונה בעבור כל שנת עבודה. תשלום לקופת תגמולים, לקרן פנסיה או לקרן אחרת לא יבוא במקום פיצויי פיטורים אלא אם נקבע כך בהסכם הקיבוצי החל על המעביד והעובד או אם תשלום כאמור אושר בצו על ידי שר העבודה והרווחה. במקרה דנן, מתקיימים שני התנאים. </w:t>
      </w:r>
      <w:r w:rsidRPr="00FD11F5">
        <w:rPr>
          <w:rFonts w:cs="FrankRuehl"/>
          <w:szCs w:val="26"/>
          <w:rtl/>
        </w:rPr>
        <w:t>בנוסף, יש לנהוג דין שווה לתובע ולעובדים אחרים בנתבעת בעניין תשלום פיצויי הפיטורים אשר הושלם להם 28% בגין פיצויי פיטורים מעבר לסכומים שהופקדו בקופות בגין פיצויי פיטורים, במיוחד כאשר התובע שימש כחשב הנתבעת, החליט בכל העניינים הכספיים והוא זה שהפריש בעבור עצמו כספים ביתר מבלי שיידע איש וללא קבלת אישור הממונה במשרד האוצר; הנתבעת אינה רשאית לשלול מהתובע את פיצויי הפיטורים לאחר שבחרה שלא לשלול או להפחיתם; בשל המחלוקת בין הצדדים באשר לגובה פיצויי הפיטורים, אין לחייב את הנתבעת בפיצויי הלנת פיצויי פיטורים. לסיכום, התובע זכאי לתשלום פיצויי פיטורים לפי ההסכם הקיבוצי בענף המלונאות (28% ממשכורתו החודשית ובמכפלת 24 שנות עבודתו), ולשחרור הכספים המצויים בקרן בעבור פיצויי פיטורים. התובע קיבל לידיו סך זה ולכן התביעה נדחתה.</w:t>
      </w:r>
    </w:p>
    <w:p w:rsidR="003C448A" w:rsidRDefault="003C448A">
      <w:pPr>
        <w:suppressLineNumbers/>
        <w:rPr>
          <w:rFonts w:hint="cs"/>
          <w:rtl/>
        </w:rPr>
      </w:pPr>
      <w:bookmarkStart w:id="4" w:name="ABSTRACT_END"/>
      <w:bookmarkEnd w:id="4"/>
    </w:p>
    <w:tbl>
      <w:tblPr>
        <w:tblStyle w:val="a5"/>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820"/>
      </w:tblGrid>
      <w:tr w:rsidR="006055C2">
        <w:trPr>
          <w:jc w:val="center"/>
        </w:trPr>
        <w:tc>
          <w:tcPr>
            <w:tcW w:w="8820" w:type="dxa"/>
          </w:tcPr>
          <w:p w:rsidR="007622BA" w:rsidRPr="007622BA" w:rsidRDefault="007622BA" w:rsidP="007622BA">
            <w:pPr>
              <w:bidi w:val="0"/>
              <w:jc w:val="center"/>
              <w:rPr>
                <w:rFonts w:ascii="Arial" w:hAnsi="Arial"/>
                <w:b/>
                <w:bCs/>
                <w:sz w:val="32"/>
                <w:szCs w:val="32"/>
                <w:u w:val="single"/>
                <w:rtl/>
              </w:rPr>
            </w:pPr>
            <w:bookmarkStart w:id="5" w:name="PsakDin" w:colFirst="0" w:colLast="0"/>
            <w:r w:rsidRPr="007622BA">
              <w:rPr>
                <w:rFonts w:ascii="Arial" w:hAnsi="Arial"/>
                <w:b/>
                <w:bCs/>
                <w:sz w:val="32"/>
                <w:szCs w:val="32"/>
                <w:u w:val="single"/>
                <w:rtl/>
              </w:rPr>
              <w:t>פסק-דין</w:t>
            </w:r>
          </w:p>
          <w:p w:rsidR="006055C2" w:rsidRPr="007622BA" w:rsidRDefault="006055C2" w:rsidP="007622BA">
            <w:pPr>
              <w:bidi w:val="0"/>
              <w:jc w:val="center"/>
              <w:rPr>
                <w:rFonts w:ascii="Arial" w:hAnsi="Arial"/>
                <w:b/>
                <w:bCs/>
                <w:sz w:val="28"/>
                <w:u w:val="single"/>
              </w:rPr>
            </w:pPr>
          </w:p>
        </w:tc>
      </w:tr>
      <w:bookmarkEnd w:id="5"/>
    </w:tbl>
    <w:p w:rsidR="006055C2" w:rsidRDefault="006055C2">
      <w:pPr>
        <w:spacing w:line="360" w:lineRule="auto"/>
        <w:jc w:val="both"/>
        <w:rPr>
          <w:rFonts w:ascii="Arial" w:hAnsi="Arial"/>
          <w:szCs w:val="24"/>
          <w:rtl/>
        </w:rPr>
      </w:pPr>
    </w:p>
    <w:p w:rsidR="006055C2" w:rsidRDefault="007622BA">
      <w:pPr>
        <w:spacing w:line="360" w:lineRule="auto"/>
        <w:jc w:val="both"/>
        <w:rPr>
          <w:rFonts w:ascii="Arial" w:hAnsi="Arial"/>
          <w:b/>
          <w:bCs/>
          <w:szCs w:val="24"/>
          <w:rtl/>
        </w:rPr>
      </w:pPr>
      <w:r>
        <w:rPr>
          <w:rFonts w:ascii="Arial" w:hAnsi="Arial" w:hint="cs"/>
          <w:b/>
          <w:bCs/>
          <w:szCs w:val="24"/>
          <w:rtl/>
        </w:rPr>
        <w:t xml:space="preserve">התובע פוטר בשל סיבות מקצועיות. האם זכאי התובע לפיצויי פיטורים מוגדלים או לפיצויי פיטורים בשיעור של 100%, או שמא זכאי התובע ל- 28% בגין פיצויי פיטורים בנוסף לשחרור פיצויי הפיטורים המופקדים לזכותו – זוהי הסוגיה העומדת להכרעתנו. </w:t>
      </w:r>
    </w:p>
    <w:p w:rsidR="006055C2" w:rsidRDefault="006055C2">
      <w:pPr>
        <w:spacing w:line="360" w:lineRule="auto"/>
        <w:jc w:val="both"/>
        <w:rPr>
          <w:rFonts w:ascii="Arial" w:hAnsi="Arial"/>
          <w:szCs w:val="24"/>
          <w:rtl/>
        </w:rPr>
      </w:pPr>
    </w:p>
    <w:p w:rsidR="006055C2" w:rsidRDefault="007622BA">
      <w:pPr>
        <w:spacing w:line="480" w:lineRule="auto"/>
        <w:jc w:val="both"/>
        <w:rPr>
          <w:rFonts w:ascii="Arial" w:hAnsi="Arial"/>
          <w:sz w:val="28"/>
          <w:rtl/>
        </w:rPr>
      </w:pPr>
      <w:r>
        <w:rPr>
          <w:rFonts w:ascii="Arial" w:hAnsi="Arial" w:hint="cs"/>
          <w:b/>
          <w:bCs/>
          <w:sz w:val="28"/>
          <w:u w:val="single"/>
          <w:rtl/>
        </w:rPr>
        <w:t>העובדות כפי שעלו מחומר הראיות</w:t>
      </w:r>
      <w:r>
        <w:rPr>
          <w:rFonts w:ascii="Arial" w:hAnsi="Arial" w:hint="cs"/>
          <w:sz w:val="28"/>
          <w:rtl/>
        </w:rPr>
        <w:t xml:space="preserve">: </w:t>
      </w:r>
    </w:p>
    <w:p w:rsidR="006055C2" w:rsidRDefault="007622BA">
      <w:pPr>
        <w:numPr>
          <w:ilvl w:val="0"/>
          <w:numId w:val="1"/>
        </w:numPr>
        <w:spacing w:line="360" w:lineRule="auto"/>
        <w:jc w:val="both"/>
        <w:rPr>
          <w:rFonts w:ascii="Arial" w:hAnsi="Arial"/>
          <w:szCs w:val="24"/>
        </w:rPr>
      </w:pPr>
      <w:r>
        <w:rPr>
          <w:rFonts w:ascii="Arial" w:hAnsi="Arial" w:hint="cs"/>
          <w:szCs w:val="24"/>
          <w:rtl/>
        </w:rPr>
        <w:t xml:space="preserve">התובע החל את עבודתו אצל הנתבעת ביום </w:t>
      </w:r>
      <w:r>
        <w:rPr>
          <w:rFonts w:ascii="Arial" w:hAnsi="Arial" w:hint="cs"/>
          <w:b/>
          <w:bCs/>
          <w:szCs w:val="24"/>
          <w:rtl/>
        </w:rPr>
        <w:t>9.5.85</w:t>
      </w:r>
      <w:r>
        <w:rPr>
          <w:rFonts w:ascii="Arial" w:hAnsi="Arial" w:hint="cs"/>
          <w:szCs w:val="24"/>
          <w:rtl/>
        </w:rPr>
        <w:t xml:space="preserve"> כמנהל חשבונות ראשי. </w:t>
      </w:r>
    </w:p>
    <w:p w:rsidR="006055C2" w:rsidRDefault="006055C2">
      <w:pPr>
        <w:jc w:val="both"/>
        <w:rPr>
          <w:rFonts w:ascii="Arial" w:hAnsi="Arial"/>
          <w:szCs w:val="24"/>
        </w:rPr>
      </w:pPr>
    </w:p>
    <w:p w:rsidR="006055C2" w:rsidRDefault="007622BA">
      <w:pPr>
        <w:numPr>
          <w:ilvl w:val="0"/>
          <w:numId w:val="1"/>
        </w:numPr>
        <w:spacing w:line="360" w:lineRule="auto"/>
        <w:jc w:val="both"/>
        <w:rPr>
          <w:rFonts w:ascii="Arial" w:hAnsi="Arial"/>
          <w:szCs w:val="24"/>
        </w:rPr>
      </w:pPr>
      <w:r>
        <w:rPr>
          <w:rFonts w:ascii="Arial" w:hAnsi="Arial" w:hint="cs"/>
          <w:szCs w:val="24"/>
          <w:rtl/>
        </w:rPr>
        <w:t xml:space="preserve">משנת </w:t>
      </w:r>
      <w:r>
        <w:rPr>
          <w:rFonts w:ascii="Arial" w:hAnsi="Arial" w:hint="cs"/>
          <w:b/>
          <w:bCs/>
          <w:szCs w:val="24"/>
          <w:rtl/>
        </w:rPr>
        <w:t>1992</w:t>
      </w:r>
      <w:r>
        <w:rPr>
          <w:rFonts w:ascii="Arial" w:hAnsi="Arial" w:hint="cs"/>
          <w:szCs w:val="24"/>
          <w:rtl/>
        </w:rPr>
        <w:t xml:space="preserve"> שימש התובע כחשב הנתבעת. </w:t>
      </w:r>
    </w:p>
    <w:p w:rsidR="006055C2" w:rsidRDefault="006055C2">
      <w:pPr>
        <w:jc w:val="both"/>
        <w:rPr>
          <w:rFonts w:ascii="Arial" w:hAnsi="Arial"/>
          <w:szCs w:val="24"/>
        </w:rPr>
      </w:pPr>
    </w:p>
    <w:p w:rsidR="006055C2" w:rsidRDefault="007622BA">
      <w:pPr>
        <w:numPr>
          <w:ilvl w:val="0"/>
          <w:numId w:val="1"/>
        </w:numPr>
        <w:spacing w:line="360" w:lineRule="auto"/>
        <w:jc w:val="both"/>
        <w:rPr>
          <w:rFonts w:ascii="Arial" w:hAnsi="Arial"/>
          <w:szCs w:val="24"/>
        </w:rPr>
      </w:pPr>
      <w:r>
        <w:rPr>
          <w:rFonts w:ascii="Arial" w:hAnsi="Arial" w:hint="cs"/>
          <w:szCs w:val="24"/>
          <w:rtl/>
        </w:rPr>
        <w:t xml:space="preserve">הנתבעת הינה חברה ממשלתית המפעילה מלון ובית ספר למקצועות המלונאות. </w:t>
      </w:r>
    </w:p>
    <w:p w:rsidR="006055C2" w:rsidRDefault="006055C2">
      <w:pPr>
        <w:jc w:val="both"/>
        <w:rPr>
          <w:rFonts w:ascii="Arial" w:hAnsi="Arial"/>
          <w:szCs w:val="24"/>
        </w:rPr>
      </w:pPr>
    </w:p>
    <w:p w:rsidR="006055C2" w:rsidRDefault="007622BA">
      <w:pPr>
        <w:numPr>
          <w:ilvl w:val="0"/>
          <w:numId w:val="1"/>
        </w:numPr>
        <w:spacing w:line="360" w:lineRule="auto"/>
        <w:jc w:val="both"/>
        <w:rPr>
          <w:rFonts w:ascii="Arial" w:hAnsi="Arial"/>
          <w:szCs w:val="24"/>
        </w:rPr>
      </w:pPr>
      <w:r>
        <w:rPr>
          <w:rFonts w:ascii="Arial" w:hAnsi="Arial" w:hint="cs"/>
          <w:szCs w:val="24"/>
          <w:rtl/>
        </w:rPr>
        <w:t xml:space="preserve">ביום </w:t>
      </w:r>
      <w:r>
        <w:rPr>
          <w:rFonts w:ascii="Arial" w:hAnsi="Arial" w:hint="cs"/>
          <w:b/>
          <w:bCs/>
          <w:szCs w:val="24"/>
          <w:rtl/>
        </w:rPr>
        <w:t>12.5.85</w:t>
      </w:r>
      <w:r>
        <w:rPr>
          <w:rFonts w:ascii="Arial" w:hAnsi="Arial" w:hint="cs"/>
          <w:szCs w:val="24"/>
          <w:rtl/>
        </w:rPr>
        <w:t xml:space="preserve"> נחתם הסכם העסקה בין הצדדים. </w:t>
      </w:r>
    </w:p>
    <w:p w:rsidR="006055C2" w:rsidRDefault="006055C2">
      <w:pPr>
        <w:jc w:val="both"/>
        <w:rPr>
          <w:rFonts w:ascii="Arial" w:hAnsi="Arial"/>
          <w:szCs w:val="24"/>
        </w:rPr>
      </w:pPr>
    </w:p>
    <w:p w:rsidR="006055C2" w:rsidRDefault="007622BA">
      <w:pPr>
        <w:numPr>
          <w:ilvl w:val="0"/>
          <w:numId w:val="1"/>
        </w:numPr>
        <w:spacing w:line="360" w:lineRule="auto"/>
        <w:jc w:val="both"/>
        <w:rPr>
          <w:rFonts w:ascii="Arial" w:hAnsi="Arial"/>
          <w:szCs w:val="24"/>
        </w:rPr>
      </w:pPr>
      <w:r>
        <w:rPr>
          <w:rFonts w:ascii="Arial" w:hAnsi="Arial" w:hint="cs"/>
          <w:szCs w:val="24"/>
          <w:rtl/>
        </w:rPr>
        <w:t xml:space="preserve">בחודש </w:t>
      </w:r>
      <w:r>
        <w:rPr>
          <w:rFonts w:ascii="Arial" w:hAnsi="Arial" w:hint="cs"/>
          <w:b/>
          <w:bCs/>
          <w:szCs w:val="24"/>
          <w:rtl/>
        </w:rPr>
        <w:t>7/92</w:t>
      </w:r>
      <w:r>
        <w:rPr>
          <w:rFonts w:ascii="Arial" w:hAnsi="Arial" w:hint="cs"/>
          <w:szCs w:val="24"/>
          <w:rtl/>
        </w:rPr>
        <w:t xml:space="preserve"> חתמו הצדדים על הסכם עבודה נוסף. בהסכם נקבע, בין השאר (בסעיף 16 להסכם): </w:t>
      </w:r>
    </w:p>
    <w:p w:rsidR="006055C2" w:rsidRDefault="006055C2">
      <w:pPr>
        <w:spacing w:line="360" w:lineRule="auto"/>
        <w:ind w:left="1440" w:hanging="720"/>
        <w:jc w:val="both"/>
        <w:rPr>
          <w:rFonts w:ascii="Arial" w:hAnsi="Arial"/>
          <w:szCs w:val="24"/>
          <w:rtl/>
        </w:rPr>
      </w:pPr>
    </w:p>
    <w:p w:rsidR="006055C2" w:rsidRDefault="007622BA">
      <w:pPr>
        <w:ind w:left="1440" w:right="540" w:hanging="720"/>
        <w:jc w:val="both"/>
        <w:rPr>
          <w:rFonts w:ascii="Arial" w:hAnsi="Arial"/>
          <w:b/>
          <w:bCs/>
          <w:sz w:val="26"/>
          <w:szCs w:val="26"/>
          <w:rtl/>
        </w:rPr>
      </w:pPr>
      <w:r>
        <w:rPr>
          <w:rFonts w:ascii="Arial" w:hAnsi="Arial" w:hint="cs"/>
          <w:b/>
          <w:bCs/>
          <w:sz w:val="26"/>
          <w:szCs w:val="26"/>
          <w:rtl/>
        </w:rPr>
        <w:t>"16. א. החברה תפריש לקופת גמל (כמשמעותה בסעיף 47 ל</w:t>
      </w:r>
      <w:hyperlink r:id="rId7" w:history="1">
        <w:r w:rsidRPr="007622BA">
          <w:rPr>
            <w:rFonts w:ascii="Arial" w:hAnsi="Arial"/>
            <w:b/>
            <w:bCs/>
            <w:color w:val="0000FF"/>
            <w:sz w:val="26"/>
            <w:szCs w:val="26"/>
            <w:u w:val="single"/>
            <w:rtl/>
          </w:rPr>
          <w:t>פקודת מס הכנסה</w:t>
        </w:r>
      </w:hyperlink>
      <w:r>
        <w:rPr>
          <w:rFonts w:ascii="Arial" w:hAnsi="Arial" w:hint="cs"/>
          <w:b/>
          <w:bCs/>
          <w:sz w:val="26"/>
          <w:szCs w:val="26"/>
          <w:rtl/>
        </w:rPr>
        <w:t xml:space="preserve">) במסגרת ביטוח מנהלים או במסגרת אחרת, הכל לפי בחירתו של העובד ובהסכמת החברה, סכום השווה ל- </w:t>
      </w:r>
      <w:r>
        <w:rPr>
          <w:rFonts w:ascii="Arial" w:hAnsi="Arial" w:cs="Arial"/>
          <w:b/>
          <w:bCs/>
          <w:sz w:val="26"/>
          <w:szCs w:val="26"/>
          <w:rtl/>
        </w:rPr>
        <w:t>⅓</w:t>
      </w:r>
      <w:r>
        <w:rPr>
          <w:rFonts w:ascii="Arial" w:hAnsi="Arial" w:hint="cs"/>
          <w:b/>
          <w:bCs/>
          <w:sz w:val="26"/>
          <w:szCs w:val="26"/>
          <w:rtl/>
        </w:rPr>
        <w:t xml:space="preserve">13 אחוז מהמשכורת הכוללת, והעובד יפריש על חשבונו הוא סכום השווה ל- 5 אחוז מהמשכורת הכוללת. </w:t>
      </w:r>
    </w:p>
    <w:p w:rsidR="006055C2" w:rsidRDefault="006055C2">
      <w:pPr>
        <w:ind w:left="720" w:right="540"/>
        <w:jc w:val="both"/>
        <w:rPr>
          <w:rFonts w:ascii="Arial" w:hAnsi="Arial"/>
          <w:b/>
          <w:bCs/>
          <w:sz w:val="26"/>
          <w:szCs w:val="26"/>
          <w:rtl/>
        </w:rPr>
      </w:pPr>
    </w:p>
    <w:p w:rsidR="006055C2" w:rsidRDefault="007622BA">
      <w:pPr>
        <w:ind w:left="720" w:right="540" w:firstLine="720"/>
        <w:jc w:val="both"/>
        <w:rPr>
          <w:rFonts w:ascii="Arial" w:hAnsi="Arial"/>
          <w:b/>
          <w:bCs/>
          <w:sz w:val="26"/>
          <w:szCs w:val="26"/>
          <w:rtl/>
        </w:rPr>
      </w:pPr>
      <w:r>
        <w:rPr>
          <w:rFonts w:ascii="Arial" w:hAnsi="Arial" w:hint="cs"/>
          <w:b/>
          <w:bCs/>
          <w:sz w:val="26"/>
          <w:szCs w:val="26"/>
          <w:rtl/>
        </w:rPr>
        <w:t xml:space="preserve">העובד מסכים בזה שהחברה תנכה משכרו 5 אחוז אלה. </w:t>
      </w:r>
    </w:p>
    <w:p w:rsidR="006055C2" w:rsidRDefault="006055C2">
      <w:pPr>
        <w:ind w:left="720" w:right="540"/>
        <w:jc w:val="both"/>
        <w:rPr>
          <w:rFonts w:ascii="Arial" w:hAnsi="Arial"/>
          <w:b/>
          <w:bCs/>
          <w:sz w:val="26"/>
          <w:szCs w:val="26"/>
          <w:rtl/>
        </w:rPr>
      </w:pPr>
    </w:p>
    <w:p w:rsidR="006055C2" w:rsidRDefault="007622BA">
      <w:pPr>
        <w:ind w:left="1440" w:right="540"/>
        <w:jc w:val="both"/>
        <w:rPr>
          <w:rFonts w:ascii="Arial" w:hAnsi="Arial"/>
          <w:b/>
          <w:bCs/>
          <w:sz w:val="26"/>
          <w:szCs w:val="26"/>
          <w:rtl/>
        </w:rPr>
      </w:pPr>
      <w:r>
        <w:rPr>
          <w:rFonts w:ascii="Arial" w:hAnsi="Arial" w:hint="cs"/>
          <w:b/>
          <w:bCs/>
          <w:sz w:val="26"/>
          <w:szCs w:val="26"/>
          <w:rtl/>
        </w:rPr>
        <w:t xml:space="preserve">5 אחוז מתוך ה- </w:t>
      </w:r>
      <w:r>
        <w:rPr>
          <w:rFonts w:ascii="Arial" w:hAnsi="Arial" w:cs="Arial"/>
          <w:b/>
          <w:bCs/>
          <w:sz w:val="26"/>
          <w:szCs w:val="26"/>
          <w:rtl/>
        </w:rPr>
        <w:t>⅓</w:t>
      </w:r>
      <w:r>
        <w:rPr>
          <w:rFonts w:ascii="Arial" w:hAnsi="Arial" w:hint="cs"/>
          <w:b/>
          <w:bCs/>
          <w:sz w:val="26"/>
          <w:szCs w:val="26"/>
          <w:rtl/>
        </w:rPr>
        <w:t xml:space="preserve">13 אחוז שהחברה מפרישה כאמור והפרשת העובד בשעור של 5 אחוז, ביחד עם הפרשי הצמדה ורווחים על אותן הפרשות, ישמשו ככספי תגמולים לטובת העובד או שאיריו. </w:t>
      </w:r>
    </w:p>
    <w:p w:rsidR="006055C2" w:rsidRDefault="006055C2">
      <w:pPr>
        <w:ind w:left="1440" w:right="540"/>
        <w:jc w:val="both"/>
        <w:rPr>
          <w:rFonts w:ascii="Arial" w:hAnsi="Arial"/>
          <w:b/>
          <w:bCs/>
          <w:sz w:val="26"/>
          <w:szCs w:val="26"/>
          <w:rtl/>
        </w:rPr>
      </w:pPr>
    </w:p>
    <w:p w:rsidR="006055C2" w:rsidRDefault="007622BA">
      <w:pPr>
        <w:ind w:left="1440" w:right="540"/>
        <w:jc w:val="both"/>
        <w:rPr>
          <w:rFonts w:ascii="Arial" w:hAnsi="Arial"/>
          <w:b/>
          <w:bCs/>
          <w:sz w:val="26"/>
          <w:szCs w:val="26"/>
          <w:rtl/>
        </w:rPr>
      </w:pPr>
      <w:r>
        <w:rPr>
          <w:rFonts w:ascii="Arial" w:hAnsi="Arial" w:hint="cs"/>
          <w:b/>
          <w:bCs/>
          <w:sz w:val="26"/>
          <w:szCs w:val="26"/>
          <w:rtl/>
        </w:rPr>
        <w:t xml:space="preserve">יתרת ה- </w:t>
      </w:r>
      <w:r>
        <w:rPr>
          <w:rFonts w:ascii="Arial" w:hAnsi="Arial" w:cs="Arial"/>
          <w:b/>
          <w:bCs/>
          <w:sz w:val="26"/>
          <w:szCs w:val="26"/>
          <w:rtl/>
        </w:rPr>
        <w:t>⅓</w:t>
      </w:r>
      <w:r>
        <w:rPr>
          <w:rFonts w:ascii="Arial" w:hAnsi="Arial" w:hint="cs"/>
          <w:b/>
          <w:bCs/>
          <w:sz w:val="26"/>
          <w:szCs w:val="26"/>
          <w:rtl/>
        </w:rPr>
        <w:t xml:space="preserve">8 אחוז מתוך הפרשות החברה, ביחד עם הפרשי הצמדה ורווחים על אותן הפרשות, ישמשו לכיסוי פיצויי הפיטורין שיגיעו לעובד או לשאיריו במקרה של פטירתו למעט בנסיבות המפורטות בסעיף 17 להלן. </w:t>
      </w:r>
    </w:p>
    <w:p w:rsidR="006055C2" w:rsidRDefault="006055C2">
      <w:pPr>
        <w:ind w:left="720" w:right="540"/>
        <w:jc w:val="both"/>
        <w:rPr>
          <w:rFonts w:ascii="Arial" w:hAnsi="Arial"/>
          <w:b/>
          <w:bCs/>
          <w:sz w:val="26"/>
          <w:szCs w:val="26"/>
          <w:rtl/>
        </w:rPr>
      </w:pPr>
    </w:p>
    <w:p w:rsidR="006055C2" w:rsidRDefault="007622BA">
      <w:pPr>
        <w:ind w:left="1440" w:right="540" w:hanging="720"/>
        <w:jc w:val="both"/>
        <w:rPr>
          <w:rFonts w:ascii="Arial" w:hAnsi="Arial"/>
          <w:b/>
          <w:bCs/>
          <w:sz w:val="26"/>
          <w:szCs w:val="26"/>
          <w:rtl/>
        </w:rPr>
      </w:pPr>
      <w:r>
        <w:rPr>
          <w:rFonts w:ascii="Arial" w:hAnsi="Arial" w:hint="cs"/>
          <w:b/>
          <w:bCs/>
          <w:sz w:val="26"/>
          <w:szCs w:val="26"/>
          <w:rtl/>
        </w:rPr>
        <w:t xml:space="preserve">ב. </w:t>
      </w:r>
      <w:r>
        <w:rPr>
          <w:rFonts w:ascii="Arial" w:hAnsi="Arial" w:hint="cs"/>
          <w:b/>
          <w:bCs/>
          <w:sz w:val="26"/>
          <w:szCs w:val="26"/>
          <w:rtl/>
        </w:rPr>
        <w:tab/>
        <w:t xml:space="preserve">בחר העובד בביטוח מנהלים תהיה הפוליסה בבעלות החברה כל עוד הינה המעביד של העובד והוא והחברה ישאו בתשלומים בגין הפוליסה, לרבות בהפרשי ההצמדה למדד על פי חלקיהם לביטוח הנ"ל. </w:t>
      </w:r>
    </w:p>
    <w:p w:rsidR="006055C2" w:rsidRDefault="006055C2">
      <w:pPr>
        <w:ind w:left="720" w:right="540"/>
        <w:jc w:val="both"/>
        <w:rPr>
          <w:rFonts w:ascii="Arial" w:hAnsi="Arial"/>
          <w:b/>
          <w:bCs/>
          <w:sz w:val="26"/>
          <w:szCs w:val="26"/>
          <w:rtl/>
        </w:rPr>
      </w:pPr>
    </w:p>
    <w:p w:rsidR="006055C2" w:rsidRDefault="007622BA">
      <w:pPr>
        <w:ind w:left="1440" w:right="540" w:hanging="720"/>
        <w:jc w:val="both"/>
        <w:rPr>
          <w:rFonts w:ascii="Arial" w:hAnsi="Arial"/>
          <w:b/>
          <w:bCs/>
          <w:sz w:val="26"/>
          <w:szCs w:val="26"/>
          <w:rtl/>
        </w:rPr>
      </w:pPr>
      <w:r>
        <w:rPr>
          <w:rFonts w:ascii="Arial" w:hAnsi="Arial" w:hint="cs"/>
          <w:b/>
          <w:bCs/>
          <w:sz w:val="26"/>
          <w:szCs w:val="26"/>
          <w:rtl/>
        </w:rPr>
        <w:t xml:space="preserve">ג. </w:t>
      </w:r>
      <w:r>
        <w:rPr>
          <w:rFonts w:ascii="Arial" w:hAnsi="Arial" w:hint="cs"/>
          <w:b/>
          <w:bCs/>
          <w:sz w:val="26"/>
          <w:szCs w:val="26"/>
          <w:rtl/>
        </w:rPr>
        <w:tab/>
        <w:t xml:space="preserve">התשלומים לקופת גמל כאמור בס"ק (א) לעיל יבואו במקום פיצויי פיטורין בהתאם לחוק פיצויי פיטורין, תשכ"ג 1963, ואם יהיה צורך בכך יובא ההסדר לאישור שר העבודה בהתאם לסעיף 14 לחוק הנ"ל. </w:t>
      </w:r>
    </w:p>
    <w:p w:rsidR="006055C2" w:rsidRDefault="006055C2">
      <w:pPr>
        <w:ind w:left="720" w:right="540"/>
        <w:jc w:val="both"/>
        <w:rPr>
          <w:rFonts w:ascii="Arial" w:hAnsi="Arial"/>
          <w:b/>
          <w:bCs/>
          <w:sz w:val="26"/>
          <w:szCs w:val="26"/>
          <w:rtl/>
        </w:rPr>
      </w:pPr>
    </w:p>
    <w:p w:rsidR="006055C2" w:rsidRDefault="007622BA">
      <w:pPr>
        <w:ind w:left="1440" w:right="540" w:hanging="720"/>
        <w:jc w:val="both"/>
        <w:rPr>
          <w:rFonts w:ascii="Arial" w:hAnsi="Arial"/>
          <w:b/>
          <w:bCs/>
          <w:sz w:val="26"/>
          <w:szCs w:val="26"/>
          <w:rtl/>
        </w:rPr>
      </w:pPr>
      <w:r>
        <w:rPr>
          <w:rFonts w:ascii="Arial" w:hAnsi="Arial" w:hint="cs"/>
          <w:b/>
          <w:bCs/>
          <w:sz w:val="26"/>
          <w:szCs w:val="26"/>
          <w:rtl/>
        </w:rPr>
        <w:t xml:space="preserve">ד. </w:t>
      </w:r>
      <w:r>
        <w:rPr>
          <w:rFonts w:ascii="Arial" w:hAnsi="Arial" w:hint="cs"/>
          <w:b/>
          <w:bCs/>
          <w:sz w:val="26"/>
          <w:szCs w:val="26"/>
          <w:rtl/>
        </w:rPr>
        <w:tab/>
        <w:t xml:space="preserve">עם הפסקת עבודתו עקב סיומו של הסכם זה מכל סיבה שהיא ופרישתו המוחלטת מן החברה יהיה העובד או שאיריו זכאי לקבל את הבעלות בזכויות שנצברו ו/או נוצרו לזכותו בקופת הגמל או את הבעלות בפוליסת ביטוח המנהלים, הכל בהתאם ל..., ולמעט ההפרשות לפיצויי פיטורין כולל הפרשי הצמדה ורווחים עליהן בנסיבות המפורטות בסעיף 17(ג) להלן. </w:t>
      </w:r>
    </w:p>
    <w:p w:rsidR="006055C2" w:rsidRDefault="006055C2">
      <w:pPr>
        <w:ind w:left="720" w:right="540"/>
        <w:jc w:val="both"/>
        <w:rPr>
          <w:rFonts w:ascii="Arial" w:hAnsi="Arial"/>
          <w:b/>
          <w:bCs/>
          <w:sz w:val="26"/>
          <w:szCs w:val="26"/>
          <w:rtl/>
        </w:rPr>
      </w:pPr>
    </w:p>
    <w:p w:rsidR="006055C2" w:rsidRDefault="007622BA">
      <w:pPr>
        <w:ind w:left="1440" w:right="540" w:hanging="720"/>
        <w:jc w:val="both"/>
        <w:rPr>
          <w:rFonts w:ascii="Arial" w:hAnsi="Arial"/>
          <w:b/>
          <w:bCs/>
          <w:sz w:val="26"/>
          <w:szCs w:val="26"/>
          <w:rtl/>
        </w:rPr>
      </w:pPr>
      <w:r>
        <w:rPr>
          <w:rFonts w:ascii="Arial" w:hAnsi="Arial" w:hint="cs"/>
          <w:b/>
          <w:bCs/>
          <w:sz w:val="26"/>
          <w:szCs w:val="26"/>
          <w:rtl/>
        </w:rPr>
        <w:t xml:space="preserve">ה. </w:t>
      </w:r>
      <w:r>
        <w:rPr>
          <w:rFonts w:ascii="Arial" w:hAnsi="Arial" w:hint="cs"/>
          <w:b/>
          <w:bCs/>
          <w:sz w:val="26"/>
          <w:szCs w:val="26"/>
          <w:rtl/>
        </w:rPr>
        <w:tab/>
        <w:t xml:space="preserve">החברה מתחייבת לשלם לעובד את ההפרש, במידה ויהיה כזה, בין הסכומים אותם הפרישה החברה בגין פיצויי פיטורין ביחד עם הפרשי הצמדה והרווחים על אותן הפרשות, לבין סכום פיצויי הפיטורין אשר היו מגיעים לו על פי חוק פיצויי פיטורין תשכ"ג-1963." </w:t>
      </w:r>
    </w:p>
    <w:p w:rsidR="006055C2" w:rsidRDefault="006055C2">
      <w:pPr>
        <w:ind w:right="540"/>
        <w:jc w:val="both"/>
        <w:rPr>
          <w:rFonts w:ascii="Arial" w:hAnsi="Arial" w:cs="FrankRuehl"/>
          <w:b/>
          <w:bCs/>
          <w:sz w:val="26"/>
          <w:szCs w:val="26"/>
          <w:rtl/>
        </w:rPr>
      </w:pPr>
    </w:p>
    <w:p w:rsidR="006055C2" w:rsidRDefault="007622BA">
      <w:pPr>
        <w:numPr>
          <w:ilvl w:val="0"/>
          <w:numId w:val="1"/>
        </w:numPr>
        <w:spacing w:line="360" w:lineRule="auto"/>
        <w:jc w:val="both"/>
        <w:rPr>
          <w:rFonts w:ascii="Arial" w:hAnsi="Arial"/>
          <w:szCs w:val="24"/>
        </w:rPr>
      </w:pPr>
      <w:r>
        <w:rPr>
          <w:rFonts w:ascii="Arial" w:hAnsi="Arial" w:hint="cs"/>
          <w:szCs w:val="24"/>
          <w:rtl/>
        </w:rPr>
        <w:t xml:space="preserve">הלכה למעשה בוטח התובע בקרן פנסיה ששם אין צורך בהפרשה של 2.5% בעבור אובדן כושר עבודה. כן הופרשו 7.5% בעבור גמל (חלק מעביד) במקום 5% שנקבעו בהסכם העבודה. </w:t>
      </w:r>
    </w:p>
    <w:p w:rsidR="006055C2" w:rsidRDefault="006055C2">
      <w:pPr>
        <w:jc w:val="both"/>
        <w:rPr>
          <w:rFonts w:ascii="Arial" w:hAnsi="Arial"/>
          <w:szCs w:val="24"/>
        </w:rPr>
      </w:pPr>
    </w:p>
    <w:p w:rsidR="006055C2" w:rsidRDefault="007622BA">
      <w:pPr>
        <w:numPr>
          <w:ilvl w:val="0"/>
          <w:numId w:val="1"/>
        </w:numPr>
        <w:spacing w:line="360" w:lineRule="auto"/>
        <w:jc w:val="both"/>
        <w:rPr>
          <w:rFonts w:ascii="Arial" w:hAnsi="Arial"/>
          <w:szCs w:val="24"/>
        </w:rPr>
      </w:pPr>
      <w:r>
        <w:rPr>
          <w:rFonts w:ascii="Arial" w:hAnsi="Arial" w:hint="cs"/>
          <w:szCs w:val="24"/>
          <w:rtl/>
        </w:rPr>
        <w:t xml:space="preserve">לימים הקימה הנתבעת מיזם משותף עם שותף בשם דורון קופיט (ברמאסטר), בשם "ברמאסטר-תדמור". </w:t>
      </w:r>
    </w:p>
    <w:p w:rsidR="006055C2" w:rsidRDefault="006055C2">
      <w:pPr>
        <w:jc w:val="both"/>
        <w:rPr>
          <w:rFonts w:ascii="Arial" w:hAnsi="Arial"/>
          <w:szCs w:val="24"/>
        </w:rPr>
      </w:pPr>
    </w:p>
    <w:p w:rsidR="006055C2" w:rsidRDefault="007622BA">
      <w:pPr>
        <w:numPr>
          <w:ilvl w:val="0"/>
          <w:numId w:val="1"/>
        </w:numPr>
        <w:spacing w:line="360" w:lineRule="auto"/>
        <w:jc w:val="both"/>
        <w:rPr>
          <w:rFonts w:ascii="Arial" w:hAnsi="Arial"/>
          <w:szCs w:val="24"/>
        </w:rPr>
      </w:pPr>
      <w:r>
        <w:rPr>
          <w:rFonts w:ascii="Arial" w:hAnsi="Arial" w:hint="cs"/>
          <w:szCs w:val="24"/>
          <w:rtl/>
        </w:rPr>
        <w:t xml:space="preserve">בביקורת חקירתית שנעשתה על ידי משרד רו"ח בר-לב שעסקה באיתור פעולות כספיות חריגות בניהול הנתבעת, הועברה ביקורת על תפקודו של התובע בשותפות עם בר מאסטר (סעיף 2 לנספח ט"ז). </w:t>
      </w:r>
    </w:p>
    <w:p w:rsidR="006055C2" w:rsidRDefault="006055C2">
      <w:pPr>
        <w:ind w:left="720"/>
        <w:jc w:val="both"/>
        <w:rPr>
          <w:rFonts w:ascii="Arial" w:hAnsi="Arial"/>
          <w:szCs w:val="24"/>
        </w:rPr>
      </w:pPr>
    </w:p>
    <w:p w:rsidR="006055C2" w:rsidRDefault="007622BA">
      <w:pPr>
        <w:numPr>
          <w:ilvl w:val="0"/>
          <w:numId w:val="1"/>
        </w:numPr>
        <w:spacing w:line="360" w:lineRule="auto"/>
        <w:jc w:val="both"/>
        <w:rPr>
          <w:rFonts w:ascii="Arial" w:hAnsi="Arial"/>
          <w:szCs w:val="24"/>
        </w:rPr>
      </w:pPr>
      <w:r>
        <w:rPr>
          <w:rFonts w:ascii="Arial" w:hAnsi="Arial" w:hint="cs"/>
          <w:szCs w:val="24"/>
          <w:rtl/>
        </w:rPr>
        <w:t xml:space="preserve">ביום </w:t>
      </w:r>
      <w:r>
        <w:rPr>
          <w:rFonts w:ascii="Arial" w:hAnsi="Arial" w:hint="cs"/>
          <w:b/>
          <w:bCs/>
          <w:szCs w:val="24"/>
          <w:rtl/>
        </w:rPr>
        <w:t>16.12.08</w:t>
      </w:r>
      <w:r>
        <w:rPr>
          <w:rFonts w:ascii="Arial" w:hAnsi="Arial" w:hint="cs"/>
          <w:szCs w:val="24"/>
          <w:rtl/>
        </w:rPr>
        <w:t xml:space="preserve"> זומן התובע לישיבת שימוע בפני הדירקטוריון. </w:t>
      </w:r>
    </w:p>
    <w:p w:rsidR="006055C2" w:rsidRDefault="006055C2">
      <w:pPr>
        <w:jc w:val="both"/>
        <w:rPr>
          <w:rFonts w:ascii="Arial" w:hAnsi="Arial"/>
          <w:szCs w:val="24"/>
        </w:rPr>
      </w:pPr>
    </w:p>
    <w:p w:rsidR="006055C2" w:rsidRDefault="007622BA">
      <w:pPr>
        <w:numPr>
          <w:ilvl w:val="0"/>
          <w:numId w:val="1"/>
        </w:numPr>
        <w:spacing w:line="360" w:lineRule="auto"/>
        <w:jc w:val="both"/>
        <w:rPr>
          <w:rFonts w:ascii="Arial" w:hAnsi="Arial"/>
          <w:szCs w:val="24"/>
        </w:rPr>
      </w:pPr>
      <w:r>
        <w:rPr>
          <w:rFonts w:ascii="Arial" w:hAnsi="Arial" w:hint="cs"/>
          <w:szCs w:val="24"/>
          <w:rtl/>
        </w:rPr>
        <w:t xml:space="preserve">ביום </w:t>
      </w:r>
      <w:r>
        <w:rPr>
          <w:rFonts w:ascii="Arial" w:hAnsi="Arial" w:hint="cs"/>
          <w:b/>
          <w:bCs/>
          <w:szCs w:val="24"/>
          <w:rtl/>
        </w:rPr>
        <w:t>17.1.09</w:t>
      </w:r>
      <w:r>
        <w:rPr>
          <w:rFonts w:ascii="Arial" w:hAnsi="Arial" w:hint="cs"/>
          <w:szCs w:val="24"/>
          <w:rtl/>
        </w:rPr>
        <w:t xml:space="preserve"> התקיימה ישיבת השימוע לתובע. בישיבה הציג התובע טענותיו. </w:t>
      </w:r>
    </w:p>
    <w:p w:rsidR="006055C2" w:rsidRDefault="006055C2">
      <w:pPr>
        <w:jc w:val="both"/>
        <w:rPr>
          <w:rFonts w:ascii="Arial" w:hAnsi="Arial"/>
          <w:szCs w:val="24"/>
        </w:rPr>
      </w:pPr>
    </w:p>
    <w:p w:rsidR="006055C2" w:rsidRDefault="007622BA">
      <w:pPr>
        <w:numPr>
          <w:ilvl w:val="0"/>
          <w:numId w:val="1"/>
        </w:numPr>
        <w:spacing w:line="360" w:lineRule="auto"/>
        <w:jc w:val="both"/>
        <w:rPr>
          <w:rFonts w:ascii="Arial" w:hAnsi="Arial"/>
          <w:szCs w:val="24"/>
        </w:rPr>
      </w:pPr>
      <w:r>
        <w:rPr>
          <w:rFonts w:ascii="Arial" w:hAnsi="Arial" w:hint="cs"/>
          <w:szCs w:val="24"/>
          <w:rtl/>
        </w:rPr>
        <w:t xml:space="preserve">ביום </w:t>
      </w:r>
      <w:r>
        <w:rPr>
          <w:rFonts w:ascii="Arial" w:hAnsi="Arial" w:hint="cs"/>
          <w:b/>
          <w:bCs/>
          <w:szCs w:val="24"/>
          <w:rtl/>
        </w:rPr>
        <w:t>22.2.09</w:t>
      </w:r>
      <w:r>
        <w:rPr>
          <w:rFonts w:ascii="Arial" w:hAnsi="Arial" w:hint="cs"/>
          <w:szCs w:val="24"/>
          <w:rtl/>
        </w:rPr>
        <w:t xml:space="preserve"> התכנס הדירקטוריון והחליט על פיטוריו של התובע. </w:t>
      </w:r>
    </w:p>
    <w:p w:rsidR="006055C2" w:rsidRDefault="006055C2">
      <w:pPr>
        <w:jc w:val="both"/>
        <w:rPr>
          <w:rFonts w:ascii="Arial" w:hAnsi="Arial"/>
          <w:szCs w:val="24"/>
        </w:rPr>
      </w:pPr>
    </w:p>
    <w:p w:rsidR="006055C2" w:rsidRDefault="007622BA">
      <w:pPr>
        <w:numPr>
          <w:ilvl w:val="0"/>
          <w:numId w:val="1"/>
        </w:numPr>
        <w:spacing w:line="360" w:lineRule="auto"/>
        <w:jc w:val="both"/>
        <w:rPr>
          <w:rFonts w:ascii="Arial" w:hAnsi="Arial"/>
          <w:szCs w:val="24"/>
        </w:rPr>
      </w:pPr>
      <w:r>
        <w:rPr>
          <w:rFonts w:ascii="Arial" w:hAnsi="Arial" w:hint="cs"/>
          <w:szCs w:val="24"/>
          <w:rtl/>
        </w:rPr>
        <w:t xml:space="preserve">ביום </w:t>
      </w:r>
      <w:r>
        <w:rPr>
          <w:rFonts w:ascii="Arial" w:hAnsi="Arial" w:hint="cs"/>
          <w:b/>
          <w:bCs/>
          <w:szCs w:val="24"/>
          <w:rtl/>
        </w:rPr>
        <w:t>24.2.09</w:t>
      </w:r>
      <w:r>
        <w:rPr>
          <w:rFonts w:ascii="Arial" w:hAnsi="Arial" w:hint="cs"/>
          <w:szCs w:val="24"/>
          <w:rtl/>
        </w:rPr>
        <w:t xml:space="preserve"> נמסר לתובע מכתב פיטורים. </w:t>
      </w:r>
    </w:p>
    <w:p w:rsidR="006055C2" w:rsidRDefault="006055C2">
      <w:pPr>
        <w:jc w:val="both"/>
        <w:rPr>
          <w:rFonts w:ascii="Arial" w:hAnsi="Arial"/>
          <w:szCs w:val="24"/>
        </w:rPr>
      </w:pPr>
    </w:p>
    <w:p w:rsidR="006055C2" w:rsidRDefault="007622BA">
      <w:pPr>
        <w:spacing w:line="360" w:lineRule="auto"/>
        <w:ind w:left="720"/>
        <w:jc w:val="both"/>
        <w:rPr>
          <w:rFonts w:ascii="Arial" w:hAnsi="Arial"/>
          <w:szCs w:val="24"/>
        </w:rPr>
      </w:pPr>
      <w:r>
        <w:rPr>
          <w:rFonts w:ascii="Arial" w:hAnsi="Arial" w:hint="cs"/>
          <w:szCs w:val="24"/>
          <w:rtl/>
        </w:rPr>
        <w:t xml:space="preserve">ביום </w:t>
      </w:r>
      <w:r>
        <w:rPr>
          <w:rFonts w:ascii="Arial" w:hAnsi="Arial" w:hint="cs"/>
          <w:b/>
          <w:bCs/>
          <w:szCs w:val="24"/>
          <w:rtl/>
        </w:rPr>
        <w:t>23.6.09</w:t>
      </w:r>
      <w:r>
        <w:rPr>
          <w:rFonts w:ascii="Arial" w:hAnsi="Arial" w:hint="cs"/>
          <w:szCs w:val="24"/>
          <w:rtl/>
        </w:rPr>
        <w:t xml:space="preserve"> הוחלט על ידי הדירקטוריון (נספח י"ב לתצהיר נוריאל) כי הנתבעת תשלם לתובע 100% פיצויי פיטורים:</w:t>
      </w:r>
    </w:p>
    <w:p w:rsidR="006055C2" w:rsidRDefault="006055C2">
      <w:pPr>
        <w:spacing w:line="360" w:lineRule="auto"/>
        <w:ind w:left="720"/>
        <w:jc w:val="both"/>
        <w:rPr>
          <w:rFonts w:ascii="Arial" w:hAnsi="Arial"/>
          <w:szCs w:val="24"/>
          <w:rtl/>
        </w:rPr>
      </w:pPr>
    </w:p>
    <w:p w:rsidR="006055C2" w:rsidRDefault="007622BA">
      <w:pPr>
        <w:spacing w:line="360" w:lineRule="auto"/>
        <w:ind w:left="1440"/>
        <w:jc w:val="both"/>
        <w:rPr>
          <w:rFonts w:ascii="Arial" w:hAnsi="Arial"/>
          <w:b/>
          <w:bCs/>
          <w:szCs w:val="24"/>
          <w:rtl/>
        </w:rPr>
      </w:pPr>
      <w:r>
        <w:rPr>
          <w:rFonts w:ascii="Arial" w:hAnsi="Arial" w:hint="cs"/>
          <w:b/>
          <w:bCs/>
          <w:szCs w:val="24"/>
          <w:u w:val="single"/>
          <w:rtl/>
        </w:rPr>
        <w:t>"גיא מלר</w:t>
      </w:r>
      <w:r>
        <w:rPr>
          <w:rFonts w:ascii="Arial" w:hAnsi="Arial" w:hint="cs"/>
          <w:b/>
          <w:bCs/>
          <w:szCs w:val="24"/>
          <w:rtl/>
        </w:rPr>
        <w:t xml:space="preserve">: נפגשתי עם רומן לגבי הפיצויים, להשלמת ה- 100% צריך לשלם לו 130,000 ₪. לאור השנים שלו כאן, להשלים לו ל- 150%, אמרתי לו שאת ה- 100% נשלם בתשלומים. </w:t>
      </w:r>
    </w:p>
    <w:p w:rsidR="006055C2" w:rsidRDefault="007622BA">
      <w:pPr>
        <w:spacing w:line="360" w:lineRule="auto"/>
        <w:ind w:left="1440"/>
        <w:jc w:val="both"/>
        <w:rPr>
          <w:rFonts w:ascii="Arial" w:hAnsi="Arial"/>
          <w:b/>
          <w:bCs/>
          <w:szCs w:val="24"/>
          <w:rtl/>
        </w:rPr>
      </w:pPr>
      <w:r>
        <w:rPr>
          <w:rFonts w:ascii="Arial" w:hAnsi="Arial" w:hint="cs"/>
          <w:b/>
          <w:bCs/>
          <w:szCs w:val="24"/>
          <w:rtl/>
        </w:rPr>
        <w:t xml:space="preserve">רומן בקש שנגיע ל- 150% ומוכן לפרוס לתשלומים לשנתיים. זה עוד 254,000 ₪, אמרתי לו שאין לי מנדט. הוא תרם לחברה הרבה מאד. </w:t>
      </w:r>
    </w:p>
    <w:p w:rsidR="006055C2" w:rsidRDefault="007622BA">
      <w:pPr>
        <w:spacing w:line="360" w:lineRule="auto"/>
        <w:ind w:left="720" w:firstLine="720"/>
        <w:jc w:val="both"/>
        <w:rPr>
          <w:rFonts w:ascii="Arial" w:hAnsi="Arial"/>
          <w:b/>
          <w:bCs/>
          <w:szCs w:val="24"/>
          <w:rtl/>
        </w:rPr>
      </w:pPr>
      <w:r>
        <w:rPr>
          <w:rFonts w:ascii="Arial" w:hAnsi="Arial" w:hint="cs"/>
          <w:b/>
          <w:bCs/>
          <w:szCs w:val="24"/>
          <w:rtl/>
        </w:rPr>
        <w:t xml:space="preserve">אם נלך לפי סעיף 14, זה עוד 90,000 ₪, יהיה בתוך ה- 100%. </w:t>
      </w:r>
    </w:p>
    <w:p w:rsidR="006055C2" w:rsidRDefault="007622BA">
      <w:pPr>
        <w:spacing w:line="360" w:lineRule="auto"/>
        <w:ind w:left="720" w:firstLine="720"/>
        <w:jc w:val="both"/>
        <w:rPr>
          <w:rFonts w:ascii="Arial" w:hAnsi="Arial"/>
          <w:szCs w:val="24"/>
          <w:rtl/>
        </w:rPr>
      </w:pPr>
      <w:r>
        <w:rPr>
          <w:rFonts w:ascii="Arial" w:hAnsi="Arial" w:hint="cs"/>
          <w:szCs w:val="24"/>
          <w:rtl/>
        </w:rPr>
        <w:t>...</w:t>
      </w:r>
    </w:p>
    <w:p w:rsidR="006055C2" w:rsidRDefault="007622BA">
      <w:pPr>
        <w:spacing w:line="360" w:lineRule="auto"/>
        <w:ind w:left="720" w:firstLine="720"/>
        <w:jc w:val="both"/>
        <w:rPr>
          <w:rFonts w:ascii="Arial" w:hAnsi="Arial"/>
          <w:b/>
          <w:bCs/>
          <w:szCs w:val="24"/>
          <w:rtl/>
        </w:rPr>
      </w:pPr>
      <w:r>
        <w:rPr>
          <w:rFonts w:ascii="Arial" w:hAnsi="Arial" w:hint="cs"/>
          <w:b/>
          <w:bCs/>
          <w:szCs w:val="24"/>
          <w:u w:val="single"/>
          <w:rtl/>
        </w:rPr>
        <w:t>החלטה</w:t>
      </w:r>
      <w:r>
        <w:rPr>
          <w:rFonts w:ascii="Arial" w:hAnsi="Arial" w:hint="cs"/>
          <w:b/>
          <w:bCs/>
          <w:szCs w:val="24"/>
          <w:rtl/>
        </w:rPr>
        <w:t>: לשלם 100% ולשבת בעוד חודשיים."</w:t>
      </w:r>
    </w:p>
    <w:p w:rsidR="006055C2" w:rsidRDefault="006055C2">
      <w:pPr>
        <w:spacing w:line="360" w:lineRule="auto"/>
        <w:ind w:firstLine="720"/>
        <w:jc w:val="both"/>
        <w:rPr>
          <w:rFonts w:ascii="Arial" w:hAnsi="Arial"/>
          <w:szCs w:val="24"/>
        </w:rPr>
      </w:pPr>
    </w:p>
    <w:p w:rsidR="006055C2" w:rsidRDefault="007622BA">
      <w:pPr>
        <w:numPr>
          <w:ilvl w:val="0"/>
          <w:numId w:val="1"/>
        </w:numPr>
        <w:spacing w:line="360" w:lineRule="auto"/>
        <w:jc w:val="both"/>
        <w:rPr>
          <w:rFonts w:ascii="Arial" w:hAnsi="Arial"/>
          <w:szCs w:val="24"/>
        </w:rPr>
      </w:pPr>
      <w:r>
        <w:rPr>
          <w:rFonts w:ascii="Arial" w:hAnsi="Arial" w:hint="cs"/>
          <w:szCs w:val="24"/>
          <w:rtl/>
        </w:rPr>
        <w:t xml:space="preserve">ביום </w:t>
      </w:r>
      <w:r>
        <w:rPr>
          <w:rFonts w:ascii="Arial" w:hAnsi="Arial" w:hint="cs"/>
          <w:b/>
          <w:bCs/>
          <w:szCs w:val="24"/>
          <w:rtl/>
        </w:rPr>
        <w:t>31.7.09</w:t>
      </w:r>
      <w:r>
        <w:rPr>
          <w:rFonts w:ascii="Arial" w:hAnsi="Arial" w:hint="cs"/>
          <w:szCs w:val="24"/>
          <w:rtl/>
        </w:rPr>
        <w:t xml:space="preserve"> סיים התובע את עבודתו. </w:t>
      </w:r>
    </w:p>
    <w:p w:rsidR="006055C2" w:rsidRDefault="006055C2">
      <w:pPr>
        <w:spacing w:line="360" w:lineRule="auto"/>
        <w:jc w:val="both"/>
        <w:rPr>
          <w:rFonts w:ascii="Arial" w:hAnsi="Arial"/>
          <w:szCs w:val="24"/>
        </w:rPr>
      </w:pPr>
    </w:p>
    <w:p w:rsidR="006055C2" w:rsidRDefault="007622BA">
      <w:pPr>
        <w:numPr>
          <w:ilvl w:val="0"/>
          <w:numId w:val="1"/>
        </w:numPr>
        <w:spacing w:line="360" w:lineRule="auto"/>
        <w:jc w:val="both"/>
        <w:rPr>
          <w:rFonts w:ascii="Arial" w:hAnsi="Arial"/>
          <w:szCs w:val="24"/>
        </w:rPr>
      </w:pPr>
      <w:r>
        <w:rPr>
          <w:rFonts w:ascii="Arial" w:hAnsi="Arial" w:hint="cs"/>
          <w:szCs w:val="24"/>
          <w:rtl/>
        </w:rPr>
        <w:t xml:space="preserve">ביום </w:t>
      </w:r>
      <w:r>
        <w:rPr>
          <w:rFonts w:ascii="Arial" w:hAnsi="Arial" w:hint="cs"/>
          <w:b/>
          <w:bCs/>
          <w:szCs w:val="24"/>
          <w:rtl/>
        </w:rPr>
        <w:t>24.8.09</w:t>
      </w:r>
      <w:r>
        <w:rPr>
          <w:rFonts w:ascii="Arial" w:hAnsi="Arial" w:hint="cs"/>
          <w:szCs w:val="24"/>
          <w:rtl/>
        </w:rPr>
        <w:t xml:space="preserve"> נתקיימה ישיבת דירקטוריון ובה נטען כנגד התובע כי המחאות בסך 400,000 ₪ בגין פיקדונות מהמיזם המשותף הוכרו כהכנסות, למרות שלא היו הכנסות אמיתיות, ובעקבות כך השותף למיזם קיבל סכום גבוה מ"רווחי" המיזם אשר היו למעשה הפסדים. עוד התגלה כי חובו של השותף בגין משיכות יתר עמד על סך 1,200,000 ₪ והכל באישור התובע. </w:t>
      </w:r>
    </w:p>
    <w:p w:rsidR="006055C2" w:rsidRDefault="006055C2">
      <w:pPr>
        <w:jc w:val="both"/>
        <w:rPr>
          <w:rFonts w:ascii="Arial" w:hAnsi="Arial"/>
          <w:szCs w:val="24"/>
        </w:rPr>
      </w:pPr>
    </w:p>
    <w:p w:rsidR="006055C2" w:rsidRDefault="007622BA">
      <w:pPr>
        <w:numPr>
          <w:ilvl w:val="0"/>
          <w:numId w:val="1"/>
        </w:numPr>
        <w:spacing w:line="360" w:lineRule="auto"/>
        <w:jc w:val="both"/>
        <w:rPr>
          <w:rFonts w:ascii="Arial" w:hAnsi="Arial"/>
          <w:szCs w:val="24"/>
        </w:rPr>
      </w:pPr>
      <w:r>
        <w:rPr>
          <w:rFonts w:ascii="Arial" w:hAnsi="Arial" w:hint="cs"/>
          <w:szCs w:val="24"/>
          <w:rtl/>
        </w:rPr>
        <w:t xml:space="preserve">מנכ"ל הנתבעת, מר שלומי נדיר, סיים אף הוא את תפקידו בשל דו"ח הביקורת. </w:t>
      </w:r>
    </w:p>
    <w:p w:rsidR="006055C2" w:rsidRDefault="006055C2">
      <w:pPr>
        <w:spacing w:line="360" w:lineRule="auto"/>
        <w:jc w:val="both"/>
        <w:rPr>
          <w:rFonts w:ascii="Arial" w:hAnsi="Arial"/>
          <w:szCs w:val="24"/>
          <w:rtl/>
        </w:rPr>
      </w:pPr>
    </w:p>
    <w:p w:rsidR="006055C2" w:rsidRDefault="006055C2">
      <w:pPr>
        <w:spacing w:line="360" w:lineRule="auto"/>
        <w:jc w:val="both"/>
        <w:rPr>
          <w:rFonts w:ascii="Arial" w:hAnsi="Arial"/>
          <w:szCs w:val="24"/>
          <w:rtl/>
        </w:rPr>
      </w:pPr>
    </w:p>
    <w:p w:rsidR="006055C2" w:rsidRDefault="007622BA">
      <w:pPr>
        <w:spacing w:line="360" w:lineRule="auto"/>
        <w:jc w:val="both"/>
        <w:rPr>
          <w:rFonts w:ascii="Arial" w:hAnsi="Arial"/>
          <w:b/>
          <w:bCs/>
          <w:sz w:val="28"/>
          <w:rtl/>
        </w:rPr>
      </w:pPr>
      <w:r>
        <w:rPr>
          <w:rFonts w:ascii="Arial" w:hAnsi="Arial" w:hint="cs"/>
          <w:b/>
          <w:bCs/>
          <w:sz w:val="28"/>
          <w:u w:val="single"/>
          <w:rtl/>
        </w:rPr>
        <w:t>טענות הצדדים</w:t>
      </w:r>
      <w:r>
        <w:rPr>
          <w:rFonts w:ascii="Arial" w:hAnsi="Arial" w:hint="cs"/>
          <w:b/>
          <w:bCs/>
          <w:sz w:val="28"/>
          <w:rtl/>
        </w:rPr>
        <w:t>:</w:t>
      </w:r>
    </w:p>
    <w:p w:rsidR="006055C2" w:rsidRDefault="006055C2">
      <w:pPr>
        <w:spacing w:line="360" w:lineRule="auto"/>
        <w:jc w:val="both"/>
        <w:rPr>
          <w:rFonts w:ascii="Arial" w:hAnsi="Arial"/>
          <w:b/>
          <w:bCs/>
          <w:szCs w:val="24"/>
          <w:u w:val="single"/>
          <w:rtl/>
        </w:rPr>
      </w:pPr>
    </w:p>
    <w:p w:rsidR="006055C2" w:rsidRDefault="007622BA">
      <w:pPr>
        <w:spacing w:line="360" w:lineRule="auto"/>
        <w:jc w:val="both"/>
        <w:rPr>
          <w:rFonts w:ascii="Arial" w:hAnsi="Arial"/>
          <w:b/>
          <w:bCs/>
          <w:szCs w:val="24"/>
          <w:u w:val="single"/>
        </w:rPr>
      </w:pPr>
      <w:r>
        <w:rPr>
          <w:rFonts w:ascii="Arial" w:hAnsi="Arial" w:hint="cs"/>
          <w:b/>
          <w:bCs/>
          <w:szCs w:val="24"/>
          <w:u w:val="single"/>
          <w:rtl/>
        </w:rPr>
        <w:t>טענות התובע</w:t>
      </w:r>
      <w:r>
        <w:rPr>
          <w:rFonts w:ascii="Arial" w:hAnsi="Arial" w:hint="cs"/>
          <w:b/>
          <w:bCs/>
          <w:szCs w:val="24"/>
          <w:rtl/>
        </w:rPr>
        <w:t>:</w:t>
      </w:r>
    </w:p>
    <w:p w:rsidR="006055C2" w:rsidRDefault="007622BA">
      <w:pPr>
        <w:numPr>
          <w:ilvl w:val="0"/>
          <w:numId w:val="2"/>
        </w:numPr>
        <w:spacing w:line="360" w:lineRule="auto"/>
        <w:jc w:val="both"/>
        <w:rPr>
          <w:rFonts w:ascii="Arial" w:hAnsi="Arial"/>
          <w:szCs w:val="24"/>
        </w:rPr>
      </w:pPr>
      <w:r>
        <w:rPr>
          <w:rFonts w:ascii="Arial" w:hAnsi="Arial" w:hint="cs"/>
          <w:szCs w:val="24"/>
          <w:rtl/>
        </w:rPr>
        <w:t>לטענת התובע, הוא לא קיבל את מלוא פיצויי הפיטורים המגיעים לו על פי דין.</w:t>
      </w:r>
    </w:p>
    <w:p w:rsidR="006055C2" w:rsidRDefault="006055C2">
      <w:pPr>
        <w:jc w:val="both"/>
        <w:rPr>
          <w:rFonts w:ascii="Arial" w:hAnsi="Arial"/>
          <w:szCs w:val="24"/>
        </w:rPr>
      </w:pPr>
    </w:p>
    <w:p w:rsidR="006055C2" w:rsidRDefault="007622BA">
      <w:pPr>
        <w:numPr>
          <w:ilvl w:val="0"/>
          <w:numId w:val="2"/>
        </w:numPr>
        <w:spacing w:line="360" w:lineRule="auto"/>
        <w:jc w:val="both"/>
        <w:rPr>
          <w:rFonts w:ascii="Arial" w:hAnsi="Arial"/>
          <w:szCs w:val="24"/>
        </w:rPr>
      </w:pPr>
      <w:r>
        <w:rPr>
          <w:rFonts w:ascii="Arial" w:hAnsi="Arial" w:hint="cs"/>
          <w:szCs w:val="24"/>
          <w:rtl/>
        </w:rPr>
        <w:t xml:space="preserve">הנתבעת שחררה לזכותו באיחור את כספי פיצויי הפיטורים החלקיים שהיו מצויים בקרן הפנסיה. </w:t>
      </w:r>
    </w:p>
    <w:p w:rsidR="006055C2" w:rsidRDefault="006055C2">
      <w:pPr>
        <w:jc w:val="both"/>
        <w:rPr>
          <w:rFonts w:ascii="Arial" w:hAnsi="Arial"/>
          <w:szCs w:val="24"/>
        </w:rPr>
      </w:pPr>
    </w:p>
    <w:p w:rsidR="006055C2" w:rsidRDefault="007622BA">
      <w:pPr>
        <w:numPr>
          <w:ilvl w:val="0"/>
          <w:numId w:val="2"/>
        </w:numPr>
        <w:spacing w:line="360" w:lineRule="auto"/>
        <w:jc w:val="both"/>
        <w:rPr>
          <w:rFonts w:ascii="Arial" w:hAnsi="Arial"/>
          <w:szCs w:val="24"/>
        </w:rPr>
      </w:pPr>
      <w:r>
        <w:rPr>
          <w:rFonts w:ascii="Arial" w:hAnsi="Arial" w:hint="cs"/>
          <w:szCs w:val="24"/>
          <w:rtl/>
        </w:rPr>
        <w:t xml:space="preserve">לא הועברו כספים ביתר למבטחים אלא שהעברת כספים זו נעשתה בהתאם למוסכם ולנהוג בנתבעת. </w:t>
      </w:r>
    </w:p>
    <w:p w:rsidR="006055C2" w:rsidRDefault="006055C2">
      <w:pPr>
        <w:jc w:val="both"/>
        <w:rPr>
          <w:rFonts w:ascii="Arial" w:hAnsi="Arial"/>
          <w:szCs w:val="24"/>
        </w:rPr>
      </w:pPr>
    </w:p>
    <w:p w:rsidR="006055C2" w:rsidRDefault="007622BA">
      <w:pPr>
        <w:numPr>
          <w:ilvl w:val="0"/>
          <w:numId w:val="2"/>
        </w:numPr>
        <w:spacing w:line="360" w:lineRule="auto"/>
        <w:jc w:val="both"/>
        <w:rPr>
          <w:rFonts w:ascii="Arial" w:hAnsi="Arial"/>
          <w:szCs w:val="24"/>
        </w:rPr>
      </w:pPr>
      <w:r>
        <w:rPr>
          <w:rFonts w:ascii="Arial" w:hAnsi="Arial" w:hint="cs"/>
          <w:szCs w:val="24"/>
          <w:rtl/>
        </w:rPr>
        <w:t xml:space="preserve">התובע עותר לקבלת יתרת פיצויי פיטורים בסך 80,498 ₪ ולהלנת פיצויי פיטורים בשל האיחור בתשלום פיצויי הפיטורים. </w:t>
      </w:r>
    </w:p>
    <w:p w:rsidR="006055C2" w:rsidRDefault="006055C2">
      <w:pPr>
        <w:jc w:val="both"/>
        <w:rPr>
          <w:rFonts w:ascii="Arial" w:hAnsi="Arial"/>
          <w:szCs w:val="24"/>
        </w:rPr>
      </w:pPr>
    </w:p>
    <w:p w:rsidR="006055C2" w:rsidRDefault="007622BA">
      <w:pPr>
        <w:numPr>
          <w:ilvl w:val="0"/>
          <w:numId w:val="2"/>
        </w:numPr>
        <w:spacing w:line="360" w:lineRule="auto"/>
        <w:jc w:val="both"/>
        <w:rPr>
          <w:rFonts w:ascii="Arial" w:hAnsi="Arial"/>
          <w:szCs w:val="24"/>
        </w:rPr>
      </w:pPr>
      <w:r>
        <w:rPr>
          <w:rFonts w:ascii="Arial" w:hAnsi="Arial" w:hint="cs"/>
          <w:szCs w:val="24"/>
          <w:rtl/>
        </w:rPr>
        <w:t xml:space="preserve">עוד טוען התובע, כי הוא זכאי לפיצויי פיטורים מוגדלים בשיעור של 150% מאחר שהרשות לחברות ממשלתיות אישרה לנתבעת תשלום פיצויי פיטורים מוגדלים וכן הוא זכאי לכך בשל נסיבות פיטוריו. </w:t>
      </w:r>
    </w:p>
    <w:p w:rsidR="006055C2" w:rsidRDefault="006055C2">
      <w:pPr>
        <w:spacing w:line="360" w:lineRule="auto"/>
        <w:jc w:val="both"/>
        <w:rPr>
          <w:rFonts w:ascii="Arial" w:hAnsi="Arial"/>
          <w:szCs w:val="24"/>
          <w:rtl/>
        </w:rPr>
      </w:pPr>
    </w:p>
    <w:p w:rsidR="006055C2" w:rsidRDefault="007622BA">
      <w:pPr>
        <w:spacing w:line="360" w:lineRule="auto"/>
        <w:jc w:val="both"/>
        <w:rPr>
          <w:rFonts w:ascii="Arial" w:hAnsi="Arial"/>
          <w:b/>
          <w:bCs/>
          <w:szCs w:val="24"/>
          <w:u w:val="single"/>
        </w:rPr>
      </w:pPr>
      <w:r>
        <w:rPr>
          <w:rFonts w:ascii="Arial" w:hAnsi="Arial" w:hint="cs"/>
          <w:b/>
          <w:bCs/>
          <w:szCs w:val="24"/>
          <w:u w:val="single"/>
          <w:rtl/>
        </w:rPr>
        <w:t xml:space="preserve">טענות הנתבעת: </w:t>
      </w:r>
    </w:p>
    <w:p w:rsidR="006055C2" w:rsidRDefault="007622BA">
      <w:pPr>
        <w:numPr>
          <w:ilvl w:val="0"/>
          <w:numId w:val="2"/>
        </w:numPr>
        <w:spacing w:line="360" w:lineRule="auto"/>
        <w:jc w:val="both"/>
        <w:rPr>
          <w:rFonts w:ascii="Arial" w:hAnsi="Arial"/>
          <w:szCs w:val="24"/>
        </w:rPr>
      </w:pPr>
      <w:r>
        <w:rPr>
          <w:rFonts w:ascii="Arial" w:hAnsi="Arial" w:hint="cs"/>
          <w:szCs w:val="24"/>
          <w:rtl/>
        </w:rPr>
        <w:t xml:space="preserve">לטענת הנתבעת, על פי ההסכם הקיבוצי בענף המלונאות עובדים אשר פוטרו מעבודתם ובוטחו בקרן הפנסיה זכאים להשלמה בשיעור של 28% לפיצויי פיטורים וכך נהג התובע שהיה חשב הנתבעת, כלפי עובדים שפוטרו. </w:t>
      </w:r>
    </w:p>
    <w:p w:rsidR="006055C2" w:rsidRDefault="006055C2">
      <w:pPr>
        <w:jc w:val="both"/>
        <w:rPr>
          <w:rFonts w:ascii="Arial" w:hAnsi="Arial"/>
          <w:szCs w:val="24"/>
        </w:rPr>
      </w:pPr>
    </w:p>
    <w:p w:rsidR="006055C2" w:rsidRDefault="007622BA">
      <w:pPr>
        <w:numPr>
          <w:ilvl w:val="0"/>
          <w:numId w:val="2"/>
        </w:numPr>
        <w:spacing w:line="360" w:lineRule="auto"/>
        <w:jc w:val="both"/>
        <w:rPr>
          <w:rFonts w:ascii="Arial" w:hAnsi="Arial"/>
          <w:szCs w:val="24"/>
        </w:rPr>
      </w:pPr>
      <w:r>
        <w:rPr>
          <w:rFonts w:ascii="Arial" w:hAnsi="Arial" w:hint="cs"/>
          <w:szCs w:val="24"/>
          <w:rtl/>
        </w:rPr>
        <w:t xml:space="preserve">הנתבעת הפרישה לזכותו של התובע 7.5% בגין חלק מעביד לגמל במקום 5%. הפרשות אלה בוצעו במשך 24 שנים וכנהוג בנתבעת ביחס לכלל עובדיה. הפרשות אלה היו בניגוד להסכם העבודה האישי שנחתם בין התובע לנתבעת ונעשו על פי הוראות של התובע ומכח תפקידו ועל כן מהוות ויתור על פי זכויותיו בהתאם להסכם. </w:t>
      </w:r>
    </w:p>
    <w:p w:rsidR="006055C2" w:rsidRDefault="006055C2">
      <w:pPr>
        <w:spacing w:line="360" w:lineRule="auto"/>
        <w:jc w:val="both"/>
        <w:rPr>
          <w:rFonts w:ascii="Arial" w:hAnsi="Arial"/>
          <w:szCs w:val="24"/>
        </w:rPr>
      </w:pPr>
    </w:p>
    <w:p w:rsidR="006055C2" w:rsidRDefault="007622BA">
      <w:pPr>
        <w:numPr>
          <w:ilvl w:val="0"/>
          <w:numId w:val="2"/>
        </w:numPr>
        <w:spacing w:line="360" w:lineRule="auto"/>
        <w:jc w:val="both"/>
        <w:rPr>
          <w:rFonts w:ascii="Arial" w:hAnsi="Arial"/>
          <w:szCs w:val="24"/>
        </w:rPr>
      </w:pPr>
      <w:r>
        <w:rPr>
          <w:rFonts w:ascii="Arial" w:hAnsi="Arial" w:hint="cs"/>
          <w:szCs w:val="24"/>
          <w:rtl/>
        </w:rPr>
        <w:t xml:space="preserve">לטענת הנתבעת, בחישוב זכאותו של התובע לפיצויי פיטורים (% </w:t>
      </w:r>
      <w:r>
        <w:rPr>
          <w:rFonts w:ascii="Arial" w:hAnsi="Arial"/>
          <w:szCs w:val="24"/>
          <w:rtl/>
        </w:rPr>
        <w:t>⅓</w:t>
      </w:r>
      <w:r>
        <w:rPr>
          <w:rFonts w:ascii="Arial" w:hAnsi="Arial" w:hint="cs"/>
          <w:szCs w:val="24"/>
          <w:rtl/>
        </w:rPr>
        <w:t xml:space="preserve">8) יש לקחת בחשבון את ההפרשות לגמל שנעשו ביתר של 2.5%. </w:t>
      </w:r>
    </w:p>
    <w:p w:rsidR="006055C2" w:rsidRDefault="006055C2">
      <w:pPr>
        <w:jc w:val="both"/>
        <w:rPr>
          <w:rFonts w:ascii="Arial" w:hAnsi="Arial"/>
          <w:szCs w:val="24"/>
        </w:rPr>
      </w:pPr>
    </w:p>
    <w:p w:rsidR="006055C2" w:rsidRDefault="007622BA">
      <w:pPr>
        <w:numPr>
          <w:ilvl w:val="0"/>
          <w:numId w:val="2"/>
        </w:numPr>
        <w:spacing w:line="360" w:lineRule="auto"/>
        <w:jc w:val="both"/>
        <w:rPr>
          <w:rFonts w:ascii="Arial" w:hAnsi="Arial"/>
          <w:szCs w:val="24"/>
        </w:rPr>
      </w:pPr>
      <w:r>
        <w:rPr>
          <w:rFonts w:ascii="Arial" w:hAnsi="Arial" w:hint="cs"/>
          <w:szCs w:val="24"/>
          <w:rtl/>
        </w:rPr>
        <w:t xml:space="preserve">מתוך רצון טוב נערך לתובע חישוב לפיצויי פיטורים על פי ההסכם האישי למרות שלאורך השנים פעל התובע בניגוד להסכם. החישובים ארכו זמן רב והתובע היה שותף להם. </w:t>
      </w:r>
    </w:p>
    <w:p w:rsidR="006055C2" w:rsidRDefault="006055C2">
      <w:pPr>
        <w:jc w:val="both"/>
        <w:rPr>
          <w:rFonts w:ascii="Arial" w:hAnsi="Arial"/>
          <w:szCs w:val="24"/>
        </w:rPr>
      </w:pPr>
    </w:p>
    <w:p w:rsidR="006055C2" w:rsidRDefault="007622BA">
      <w:pPr>
        <w:numPr>
          <w:ilvl w:val="0"/>
          <w:numId w:val="2"/>
        </w:numPr>
        <w:spacing w:line="360" w:lineRule="auto"/>
        <w:jc w:val="both"/>
        <w:rPr>
          <w:rFonts w:ascii="Arial" w:hAnsi="Arial"/>
          <w:szCs w:val="24"/>
        </w:rPr>
      </w:pPr>
      <w:r>
        <w:rPr>
          <w:rFonts w:ascii="Arial" w:hAnsi="Arial" w:hint="cs"/>
          <w:szCs w:val="24"/>
          <w:rtl/>
        </w:rPr>
        <w:t xml:space="preserve">התובע עבד עד לסוף חודש אוגוסט 2009 ולכן תאריך תשלום פיצויי הפיטורים נדחה ליום 15.9.09. מאחר שהתובע סירב לחתום על נוסח כתב ויתור, הועבר לעיונו מסמך ויתור אחר, דבר שגרר והאריך את סיום ההליכים. </w:t>
      </w:r>
    </w:p>
    <w:p w:rsidR="006055C2" w:rsidRDefault="006055C2">
      <w:pPr>
        <w:jc w:val="both"/>
        <w:rPr>
          <w:rFonts w:ascii="Arial" w:hAnsi="Arial"/>
          <w:szCs w:val="24"/>
        </w:rPr>
      </w:pPr>
    </w:p>
    <w:p w:rsidR="006055C2" w:rsidRDefault="007622BA">
      <w:pPr>
        <w:numPr>
          <w:ilvl w:val="0"/>
          <w:numId w:val="2"/>
        </w:numPr>
        <w:spacing w:line="360" w:lineRule="auto"/>
        <w:jc w:val="both"/>
        <w:rPr>
          <w:rFonts w:ascii="Arial" w:hAnsi="Arial"/>
          <w:szCs w:val="24"/>
        </w:rPr>
      </w:pPr>
      <w:r>
        <w:rPr>
          <w:rFonts w:ascii="Arial" w:hAnsi="Arial" w:hint="cs"/>
          <w:szCs w:val="24"/>
          <w:rtl/>
        </w:rPr>
        <w:t xml:space="preserve">במהלך חודש 10/09 נקרא התובע למשרדי הנתבעת לשם קבלת המחאה בגין פיצויי פיטורים והתובע הגיע רק ביום 2.11.09. </w:t>
      </w:r>
    </w:p>
    <w:p w:rsidR="006055C2" w:rsidRDefault="006055C2">
      <w:pPr>
        <w:jc w:val="both"/>
        <w:rPr>
          <w:rFonts w:ascii="Arial" w:hAnsi="Arial"/>
          <w:szCs w:val="24"/>
        </w:rPr>
      </w:pPr>
    </w:p>
    <w:p w:rsidR="006055C2" w:rsidRDefault="007622BA">
      <w:pPr>
        <w:numPr>
          <w:ilvl w:val="0"/>
          <w:numId w:val="2"/>
        </w:numPr>
        <w:spacing w:line="360" w:lineRule="auto"/>
        <w:jc w:val="both"/>
        <w:rPr>
          <w:rFonts w:ascii="Arial" w:hAnsi="Arial"/>
          <w:szCs w:val="24"/>
        </w:rPr>
      </w:pPr>
      <w:r>
        <w:rPr>
          <w:rFonts w:ascii="Arial" w:hAnsi="Arial" w:hint="cs"/>
          <w:szCs w:val="24"/>
          <w:rtl/>
        </w:rPr>
        <w:t xml:space="preserve">זכאותו לתשלום פיצויי פיטורים חושבה כפי שחושבה זכאותם של שאר עובדי הנתבעת ע"י התובע בעצמו. </w:t>
      </w:r>
    </w:p>
    <w:p w:rsidR="006055C2" w:rsidRDefault="006055C2">
      <w:pPr>
        <w:spacing w:line="360" w:lineRule="auto"/>
        <w:jc w:val="both"/>
        <w:rPr>
          <w:rFonts w:ascii="Arial" w:hAnsi="Arial"/>
          <w:szCs w:val="24"/>
          <w:rtl/>
        </w:rPr>
      </w:pPr>
    </w:p>
    <w:p w:rsidR="006055C2" w:rsidRDefault="007622BA">
      <w:pPr>
        <w:spacing w:line="360" w:lineRule="auto"/>
        <w:jc w:val="both"/>
        <w:rPr>
          <w:rFonts w:ascii="Arial" w:hAnsi="Arial"/>
          <w:b/>
          <w:bCs/>
          <w:sz w:val="28"/>
          <w:u w:val="single"/>
          <w:rtl/>
        </w:rPr>
      </w:pPr>
      <w:r>
        <w:rPr>
          <w:rFonts w:ascii="Arial" w:hAnsi="Arial" w:hint="cs"/>
          <w:b/>
          <w:bCs/>
          <w:sz w:val="28"/>
          <w:u w:val="single"/>
          <w:rtl/>
        </w:rPr>
        <w:t xml:space="preserve">עדויות: </w:t>
      </w:r>
    </w:p>
    <w:p w:rsidR="006055C2" w:rsidRDefault="007622BA">
      <w:pPr>
        <w:spacing w:line="360" w:lineRule="auto"/>
        <w:jc w:val="both"/>
        <w:rPr>
          <w:rFonts w:ascii="Arial" w:hAnsi="Arial"/>
          <w:szCs w:val="24"/>
          <w:rtl/>
        </w:rPr>
      </w:pPr>
      <w:r>
        <w:rPr>
          <w:rFonts w:ascii="Arial" w:hAnsi="Arial" w:hint="cs"/>
          <w:szCs w:val="24"/>
          <w:rtl/>
        </w:rPr>
        <w:t xml:space="preserve">שמענו את עדות התובע ומטעם הנתבעת שמענו את עדותו של רו"ח גיא מלר, סמנכ"ל הכספים של הנתבעת וכן את עדותו של רו"ח אמיר נוריאל, דירקטור בנתבעת. </w:t>
      </w:r>
    </w:p>
    <w:p w:rsidR="006055C2" w:rsidRDefault="006055C2">
      <w:pPr>
        <w:spacing w:line="480" w:lineRule="auto"/>
        <w:jc w:val="both"/>
        <w:rPr>
          <w:rFonts w:ascii="Arial" w:hAnsi="Arial"/>
          <w:szCs w:val="24"/>
          <w:rtl/>
        </w:rPr>
      </w:pPr>
    </w:p>
    <w:p w:rsidR="006055C2" w:rsidRDefault="007622BA">
      <w:pPr>
        <w:spacing w:line="360" w:lineRule="auto"/>
        <w:jc w:val="both"/>
        <w:rPr>
          <w:rFonts w:ascii="Arial" w:hAnsi="Arial"/>
          <w:b/>
          <w:bCs/>
          <w:sz w:val="28"/>
          <w:rtl/>
        </w:rPr>
      </w:pPr>
      <w:r>
        <w:rPr>
          <w:rFonts w:ascii="Arial" w:hAnsi="Arial" w:hint="cs"/>
          <w:b/>
          <w:bCs/>
          <w:sz w:val="28"/>
          <w:u w:val="single"/>
          <w:rtl/>
        </w:rPr>
        <w:t>הסוגיות העומדות להכרעתנו</w:t>
      </w:r>
      <w:r>
        <w:rPr>
          <w:rFonts w:ascii="Arial" w:hAnsi="Arial" w:hint="cs"/>
          <w:b/>
          <w:bCs/>
          <w:sz w:val="28"/>
          <w:rtl/>
        </w:rPr>
        <w:t>:</w:t>
      </w:r>
    </w:p>
    <w:p w:rsidR="006055C2" w:rsidRDefault="007622BA">
      <w:pPr>
        <w:spacing w:line="480" w:lineRule="auto"/>
        <w:jc w:val="both"/>
        <w:rPr>
          <w:rFonts w:ascii="Arial" w:hAnsi="Arial"/>
          <w:b/>
          <w:bCs/>
          <w:sz w:val="26"/>
          <w:szCs w:val="26"/>
          <w:rtl/>
        </w:rPr>
      </w:pPr>
      <w:r>
        <w:rPr>
          <w:rFonts w:ascii="Arial" w:hAnsi="Arial" w:hint="cs"/>
          <w:b/>
          <w:bCs/>
          <w:sz w:val="26"/>
          <w:szCs w:val="26"/>
          <w:rtl/>
        </w:rPr>
        <w:t xml:space="preserve">א. </w:t>
      </w:r>
      <w:r>
        <w:rPr>
          <w:rFonts w:ascii="Arial" w:hAnsi="Arial" w:hint="cs"/>
          <w:b/>
          <w:bCs/>
          <w:sz w:val="26"/>
          <w:szCs w:val="26"/>
          <w:rtl/>
        </w:rPr>
        <w:tab/>
        <w:t xml:space="preserve">האם זכאי התובע לפיצויי פיטורים מוגדלים. </w:t>
      </w:r>
    </w:p>
    <w:p w:rsidR="006055C2" w:rsidRDefault="007622BA">
      <w:pPr>
        <w:spacing w:line="480" w:lineRule="auto"/>
        <w:jc w:val="both"/>
        <w:rPr>
          <w:rFonts w:ascii="Arial" w:hAnsi="Arial"/>
          <w:b/>
          <w:bCs/>
          <w:sz w:val="26"/>
          <w:szCs w:val="26"/>
          <w:rtl/>
        </w:rPr>
      </w:pPr>
      <w:r>
        <w:rPr>
          <w:rFonts w:ascii="Arial" w:hAnsi="Arial" w:hint="cs"/>
          <w:b/>
          <w:bCs/>
          <w:sz w:val="26"/>
          <w:szCs w:val="26"/>
          <w:rtl/>
        </w:rPr>
        <w:t>ב.</w:t>
      </w:r>
      <w:r>
        <w:rPr>
          <w:rFonts w:ascii="Arial" w:hAnsi="Arial" w:hint="cs"/>
          <w:b/>
          <w:bCs/>
          <w:sz w:val="26"/>
          <w:szCs w:val="26"/>
          <w:rtl/>
        </w:rPr>
        <w:tab/>
        <w:t xml:space="preserve">נפקותו המשפטית של הסכם העבודה שנחתם בין הצדדים. </w:t>
      </w:r>
    </w:p>
    <w:p w:rsidR="006055C2" w:rsidRDefault="007622BA">
      <w:pPr>
        <w:spacing w:line="480" w:lineRule="auto"/>
        <w:jc w:val="both"/>
        <w:rPr>
          <w:rFonts w:ascii="Arial" w:hAnsi="Arial"/>
          <w:b/>
          <w:bCs/>
          <w:sz w:val="26"/>
          <w:szCs w:val="26"/>
          <w:rtl/>
        </w:rPr>
      </w:pPr>
      <w:r>
        <w:rPr>
          <w:rFonts w:ascii="Arial" w:hAnsi="Arial" w:hint="cs"/>
          <w:b/>
          <w:bCs/>
          <w:sz w:val="26"/>
          <w:szCs w:val="26"/>
          <w:rtl/>
        </w:rPr>
        <w:t xml:space="preserve">ג. </w:t>
      </w:r>
      <w:r>
        <w:rPr>
          <w:rFonts w:ascii="Arial" w:hAnsi="Arial" w:hint="cs"/>
          <w:b/>
          <w:bCs/>
          <w:sz w:val="26"/>
          <w:szCs w:val="26"/>
          <w:rtl/>
        </w:rPr>
        <w:tab/>
        <w:t xml:space="preserve">האם חל על הצדדים ההסכם הקיבוצי בענף המלונאות. </w:t>
      </w:r>
    </w:p>
    <w:p w:rsidR="006055C2" w:rsidRDefault="007622BA">
      <w:pPr>
        <w:spacing w:line="480" w:lineRule="auto"/>
        <w:jc w:val="both"/>
        <w:rPr>
          <w:rFonts w:ascii="Arial" w:hAnsi="Arial"/>
          <w:b/>
          <w:bCs/>
          <w:sz w:val="26"/>
          <w:szCs w:val="26"/>
          <w:rtl/>
        </w:rPr>
      </w:pPr>
      <w:r>
        <w:rPr>
          <w:rFonts w:ascii="Arial" w:hAnsi="Arial" w:hint="cs"/>
          <w:b/>
          <w:bCs/>
          <w:sz w:val="26"/>
          <w:szCs w:val="26"/>
          <w:rtl/>
        </w:rPr>
        <w:t xml:space="preserve">ד. </w:t>
      </w:r>
      <w:r>
        <w:rPr>
          <w:rFonts w:ascii="Arial" w:hAnsi="Arial" w:hint="cs"/>
          <w:b/>
          <w:bCs/>
          <w:sz w:val="26"/>
          <w:szCs w:val="26"/>
          <w:rtl/>
        </w:rPr>
        <w:tab/>
        <w:t xml:space="preserve">האם רשאית הנתבעת לשלול מהתובע את פיצויי הפיטורים. </w:t>
      </w:r>
    </w:p>
    <w:p w:rsidR="006055C2" w:rsidRDefault="007622BA">
      <w:pPr>
        <w:spacing w:line="480" w:lineRule="auto"/>
        <w:jc w:val="both"/>
        <w:rPr>
          <w:rFonts w:ascii="Arial" w:hAnsi="Arial"/>
          <w:b/>
          <w:bCs/>
          <w:sz w:val="26"/>
          <w:szCs w:val="26"/>
          <w:rtl/>
        </w:rPr>
      </w:pPr>
      <w:r>
        <w:rPr>
          <w:rFonts w:ascii="Arial" w:hAnsi="Arial" w:hint="cs"/>
          <w:b/>
          <w:bCs/>
          <w:sz w:val="26"/>
          <w:szCs w:val="26"/>
          <w:rtl/>
        </w:rPr>
        <w:t xml:space="preserve">ה. </w:t>
      </w:r>
      <w:r>
        <w:rPr>
          <w:rFonts w:ascii="Arial" w:hAnsi="Arial" w:hint="cs"/>
          <w:b/>
          <w:bCs/>
          <w:sz w:val="26"/>
          <w:szCs w:val="26"/>
          <w:rtl/>
        </w:rPr>
        <w:tab/>
        <w:t xml:space="preserve">האם זכאי התובע לפיצויי הלנת פיצויי פיטורים. </w:t>
      </w:r>
    </w:p>
    <w:p w:rsidR="006055C2" w:rsidRDefault="006055C2">
      <w:pPr>
        <w:spacing w:line="480" w:lineRule="auto"/>
        <w:jc w:val="both"/>
        <w:rPr>
          <w:szCs w:val="24"/>
        </w:rPr>
      </w:pPr>
    </w:p>
    <w:p w:rsidR="006055C2" w:rsidRDefault="007622BA">
      <w:pPr>
        <w:spacing w:line="360" w:lineRule="auto"/>
        <w:jc w:val="both"/>
        <w:rPr>
          <w:b/>
          <w:bCs/>
          <w:u w:val="single"/>
        </w:rPr>
      </w:pPr>
      <w:r>
        <w:rPr>
          <w:rFonts w:hint="cs"/>
          <w:b/>
          <w:bCs/>
          <w:u w:val="single"/>
          <w:rtl/>
        </w:rPr>
        <w:t xml:space="preserve">האם זכאי התובע לפיצויי פיטורים מוגדלים </w:t>
      </w:r>
      <w:r>
        <w:rPr>
          <w:b/>
          <w:bCs/>
          <w:u w:val="single"/>
        </w:rPr>
        <w:t>?</w:t>
      </w:r>
    </w:p>
    <w:p w:rsidR="006055C2" w:rsidRDefault="007622BA">
      <w:pPr>
        <w:numPr>
          <w:ilvl w:val="0"/>
          <w:numId w:val="3"/>
        </w:numPr>
        <w:spacing w:line="360" w:lineRule="auto"/>
        <w:jc w:val="both"/>
        <w:rPr>
          <w:rFonts w:ascii="Arial" w:hAnsi="Arial"/>
          <w:szCs w:val="24"/>
          <w:rtl/>
        </w:rPr>
      </w:pPr>
      <w:r>
        <w:rPr>
          <w:rFonts w:ascii="Arial" w:hAnsi="Arial" w:hint="cs"/>
          <w:szCs w:val="24"/>
          <w:rtl/>
        </w:rPr>
        <w:t xml:space="preserve">מהראיות שהוצגו בפנינו ובכלל זה דו"חות הביקורת שנעשו בנתבעת (דו"ח ביקורת 19 ו- 23 </w:t>
      </w:r>
      <w:r>
        <w:rPr>
          <w:rFonts w:ascii="Arial" w:hAnsi="Arial"/>
          <w:szCs w:val="24"/>
          <w:rtl/>
        </w:rPr>
        <w:t>–</w:t>
      </w:r>
      <w:r>
        <w:rPr>
          <w:rFonts w:ascii="Arial" w:hAnsi="Arial" w:hint="cs"/>
          <w:szCs w:val="24"/>
          <w:rtl/>
        </w:rPr>
        <w:t xml:space="preserve"> נספחים י"ד ו-ט"ו לתצהיר נוריאל) התברר כי התובע פעל בהתנהלות כספית שגוייה. בביקורות שנעשו בנתבעת עלה כי כתוצאה מהתנהלות התובע, הוצאו דו"חות כספיים שגויים (סעיפים 16-8 לתצהיר אמיר נוריאל)</w:t>
      </w:r>
      <w:r>
        <w:rPr>
          <w:rFonts w:hint="cs"/>
          <w:szCs w:val="24"/>
          <w:rtl/>
        </w:rPr>
        <w:t xml:space="preserve">. </w:t>
      </w:r>
    </w:p>
    <w:p w:rsidR="006055C2" w:rsidRDefault="006055C2">
      <w:pPr>
        <w:spacing w:line="360" w:lineRule="auto"/>
        <w:jc w:val="both"/>
        <w:rPr>
          <w:rFonts w:ascii="Arial" w:hAnsi="Arial"/>
          <w:szCs w:val="24"/>
          <w:rtl/>
        </w:rPr>
      </w:pPr>
    </w:p>
    <w:p w:rsidR="006055C2" w:rsidRDefault="007622BA">
      <w:pPr>
        <w:spacing w:line="360" w:lineRule="auto"/>
        <w:ind w:left="720"/>
        <w:jc w:val="both"/>
        <w:rPr>
          <w:rFonts w:ascii="Arial" w:hAnsi="Arial"/>
          <w:b/>
          <w:bCs/>
          <w:szCs w:val="24"/>
          <w:u w:val="single"/>
          <w:rtl/>
        </w:rPr>
      </w:pPr>
      <w:r>
        <w:rPr>
          <w:rFonts w:ascii="Arial" w:hAnsi="Arial" w:hint="cs"/>
          <w:b/>
          <w:bCs/>
          <w:szCs w:val="24"/>
          <w:rtl/>
        </w:rPr>
        <w:t xml:space="preserve">"4.1. </w:t>
      </w:r>
      <w:r>
        <w:rPr>
          <w:rFonts w:ascii="Arial" w:hAnsi="Arial" w:hint="cs"/>
          <w:b/>
          <w:bCs/>
          <w:szCs w:val="24"/>
          <w:rtl/>
        </w:rPr>
        <w:tab/>
      </w:r>
      <w:r>
        <w:rPr>
          <w:rFonts w:ascii="Arial" w:hAnsi="Arial" w:hint="cs"/>
          <w:b/>
          <w:bCs/>
          <w:szCs w:val="24"/>
          <w:u w:val="single"/>
          <w:rtl/>
        </w:rPr>
        <w:t>טעויות בנתוני יתרת חוב שותף</w:t>
      </w:r>
    </w:p>
    <w:p w:rsidR="006055C2" w:rsidRDefault="007622BA">
      <w:pPr>
        <w:spacing w:line="360" w:lineRule="auto"/>
        <w:ind w:left="720" w:firstLine="720"/>
        <w:jc w:val="both"/>
        <w:rPr>
          <w:rFonts w:ascii="Arial" w:hAnsi="Arial"/>
          <w:b/>
          <w:bCs/>
          <w:szCs w:val="24"/>
          <w:rtl/>
        </w:rPr>
      </w:pPr>
      <w:r>
        <w:rPr>
          <w:rFonts w:ascii="Arial" w:hAnsi="Arial" w:hint="cs"/>
          <w:b/>
          <w:bCs/>
          <w:szCs w:val="24"/>
          <w:rtl/>
        </w:rPr>
        <w:t>...</w:t>
      </w:r>
    </w:p>
    <w:p w:rsidR="006055C2" w:rsidRDefault="007622BA">
      <w:pPr>
        <w:spacing w:line="360" w:lineRule="auto"/>
        <w:ind w:left="1440"/>
        <w:jc w:val="both"/>
        <w:rPr>
          <w:rFonts w:ascii="Arial" w:hAnsi="Arial"/>
          <w:b/>
          <w:bCs/>
          <w:szCs w:val="24"/>
          <w:rtl/>
        </w:rPr>
      </w:pPr>
      <w:r>
        <w:rPr>
          <w:rFonts w:ascii="Arial" w:hAnsi="Arial" w:hint="cs"/>
          <w:b/>
          <w:bCs/>
          <w:szCs w:val="24"/>
          <w:rtl/>
        </w:rPr>
        <w:t xml:space="preserve">בשנת 2006 מציג רו"ח מבקר תשלום לשותף בסך של 240,000 ש"ח במקום 490,000 ש"ח. </w:t>
      </w:r>
    </w:p>
    <w:p w:rsidR="006055C2" w:rsidRDefault="006055C2">
      <w:pPr>
        <w:spacing w:line="360" w:lineRule="auto"/>
        <w:ind w:left="720" w:firstLine="720"/>
        <w:jc w:val="both"/>
        <w:rPr>
          <w:rFonts w:ascii="Arial" w:hAnsi="Arial"/>
          <w:b/>
          <w:bCs/>
          <w:szCs w:val="24"/>
          <w:rtl/>
        </w:rPr>
      </w:pPr>
    </w:p>
    <w:p w:rsidR="006055C2" w:rsidRDefault="007622BA">
      <w:pPr>
        <w:spacing w:line="360" w:lineRule="auto"/>
        <w:ind w:left="1440" w:hanging="720"/>
        <w:jc w:val="both"/>
        <w:rPr>
          <w:rFonts w:ascii="Arial" w:hAnsi="Arial"/>
          <w:b/>
          <w:bCs/>
          <w:szCs w:val="24"/>
          <w:u w:val="single"/>
          <w:rtl/>
        </w:rPr>
      </w:pPr>
      <w:r>
        <w:rPr>
          <w:rFonts w:ascii="Arial" w:hAnsi="Arial" w:hint="cs"/>
          <w:b/>
          <w:bCs/>
          <w:szCs w:val="24"/>
          <w:rtl/>
        </w:rPr>
        <w:t xml:space="preserve">4.2. </w:t>
      </w:r>
      <w:r>
        <w:rPr>
          <w:rFonts w:ascii="Arial" w:hAnsi="Arial" w:hint="cs"/>
          <w:b/>
          <w:bCs/>
          <w:szCs w:val="24"/>
          <w:rtl/>
        </w:rPr>
        <w:tab/>
      </w:r>
      <w:r>
        <w:rPr>
          <w:rFonts w:ascii="Arial" w:hAnsi="Arial" w:hint="cs"/>
          <w:b/>
          <w:bCs/>
          <w:szCs w:val="24"/>
          <w:u w:val="single"/>
          <w:rtl/>
        </w:rPr>
        <w:t xml:space="preserve">אחריות משותפת להצגת נתונים שגויים לדירקטוריון </w:t>
      </w:r>
    </w:p>
    <w:p w:rsidR="006055C2" w:rsidRDefault="007622BA">
      <w:pPr>
        <w:spacing w:line="360" w:lineRule="auto"/>
        <w:ind w:left="1440" w:hanging="720"/>
        <w:jc w:val="both"/>
        <w:rPr>
          <w:rFonts w:ascii="Arial" w:hAnsi="Arial"/>
          <w:b/>
          <w:bCs/>
          <w:szCs w:val="24"/>
          <w:rtl/>
        </w:rPr>
      </w:pPr>
      <w:r>
        <w:rPr>
          <w:rFonts w:ascii="Arial" w:hAnsi="Arial" w:hint="cs"/>
          <w:b/>
          <w:bCs/>
          <w:szCs w:val="24"/>
          <w:rtl/>
        </w:rPr>
        <w:tab/>
        <w:t xml:space="preserve">בהתבסס על נתונים, מסמכים ודוחות שהוגשו לנו ע"י החברה ורו"ח מבקר, פגישות שקיימנו עם הצדדים במשותף, הבהרות שנמסרו לנו, אנו בדעה שהן רו"ח מבקר והן חשב החברה יכלו למנוע את הגשת הנתונים השגויים ואילו נקטו כל </w:t>
      </w:r>
      <w:r>
        <w:rPr>
          <w:rFonts w:ascii="Arial" w:hAnsi="Arial" w:hint="cs"/>
          <w:b/>
          <w:bCs/>
          <w:szCs w:val="24"/>
          <w:rtl/>
        </w:rPr>
        <w:lastRenderedPageBreak/>
        <w:t xml:space="preserve">אחד לחוד ושניהם יחד, בתהליכי עבודה האמורים לאפיין בדיקה של מיזם משותף. </w:t>
      </w:r>
    </w:p>
    <w:p w:rsidR="006055C2" w:rsidRDefault="007622BA">
      <w:pPr>
        <w:spacing w:line="360" w:lineRule="auto"/>
        <w:ind w:left="720"/>
        <w:jc w:val="both"/>
        <w:rPr>
          <w:rFonts w:ascii="Arial" w:hAnsi="Arial"/>
          <w:b/>
          <w:bCs/>
          <w:szCs w:val="24"/>
          <w:u w:val="single"/>
          <w:rtl/>
        </w:rPr>
      </w:pPr>
      <w:r>
        <w:rPr>
          <w:rFonts w:ascii="Arial" w:hAnsi="Arial" w:hint="cs"/>
          <w:b/>
          <w:bCs/>
          <w:szCs w:val="24"/>
          <w:rtl/>
        </w:rPr>
        <w:t xml:space="preserve">4.3. </w:t>
      </w:r>
      <w:r>
        <w:rPr>
          <w:rFonts w:ascii="Arial" w:hAnsi="Arial" w:hint="cs"/>
          <w:b/>
          <w:bCs/>
          <w:szCs w:val="24"/>
          <w:rtl/>
        </w:rPr>
        <w:tab/>
      </w:r>
      <w:r>
        <w:rPr>
          <w:rFonts w:ascii="Arial" w:hAnsi="Arial" w:hint="cs"/>
          <w:b/>
          <w:bCs/>
          <w:szCs w:val="24"/>
          <w:u w:val="single"/>
          <w:rtl/>
        </w:rPr>
        <w:t>הסתייגות מאישור דוחות רוו"ה של בר מסטר ע"י מבקר הפנים</w:t>
      </w:r>
    </w:p>
    <w:p w:rsidR="006055C2" w:rsidRDefault="007622BA">
      <w:pPr>
        <w:spacing w:line="360" w:lineRule="auto"/>
        <w:ind w:left="1440"/>
        <w:jc w:val="both"/>
        <w:rPr>
          <w:rFonts w:ascii="Arial" w:hAnsi="Arial"/>
          <w:b/>
          <w:bCs/>
          <w:szCs w:val="24"/>
          <w:rtl/>
        </w:rPr>
      </w:pPr>
      <w:r>
        <w:rPr>
          <w:rFonts w:ascii="Arial" w:hAnsi="Arial" w:hint="cs"/>
          <w:b/>
          <w:bCs/>
          <w:szCs w:val="24"/>
          <w:rtl/>
        </w:rPr>
        <w:t xml:space="preserve">מבדיקתנו עולה, כי אין אנו יכולים לאשר את דוחות רוו"ה ויתרת חוב השותף עבור בר מסטר שנכללו בדוחות הכספיים השנתיים החל מ- 31/12/2006 ו/או הרבעוניים החל משנת 2007 וזאת מהסיבות הבאות: </w:t>
      </w:r>
    </w:p>
    <w:p w:rsidR="006055C2" w:rsidRDefault="007622BA">
      <w:pPr>
        <w:spacing w:line="360" w:lineRule="auto"/>
        <w:ind w:left="720" w:firstLine="720"/>
        <w:jc w:val="both"/>
        <w:rPr>
          <w:rFonts w:ascii="Arial" w:hAnsi="Arial"/>
          <w:b/>
          <w:bCs/>
          <w:sz w:val="26"/>
          <w:szCs w:val="26"/>
          <w:rtl/>
        </w:rPr>
      </w:pPr>
      <w:r>
        <w:rPr>
          <w:rFonts w:ascii="Arial" w:hAnsi="Arial" w:hint="cs"/>
          <w:b/>
          <w:bCs/>
          <w:sz w:val="26"/>
          <w:szCs w:val="26"/>
          <w:rtl/>
        </w:rPr>
        <w:t xml:space="preserve">... </w:t>
      </w:r>
    </w:p>
    <w:p w:rsidR="006055C2" w:rsidRDefault="007622BA">
      <w:pPr>
        <w:spacing w:line="360" w:lineRule="auto"/>
        <w:ind w:left="720"/>
        <w:jc w:val="both"/>
        <w:rPr>
          <w:rFonts w:ascii="Arial" w:hAnsi="Arial"/>
          <w:b/>
          <w:bCs/>
          <w:szCs w:val="24"/>
          <w:u w:val="single"/>
          <w:rtl/>
        </w:rPr>
      </w:pPr>
      <w:r>
        <w:rPr>
          <w:rFonts w:ascii="Arial" w:hAnsi="Arial" w:hint="cs"/>
          <w:b/>
          <w:bCs/>
          <w:szCs w:val="24"/>
          <w:rtl/>
        </w:rPr>
        <w:t xml:space="preserve">5. </w:t>
      </w:r>
      <w:r>
        <w:rPr>
          <w:rFonts w:ascii="Arial" w:hAnsi="Arial" w:hint="cs"/>
          <w:b/>
          <w:bCs/>
          <w:szCs w:val="24"/>
          <w:rtl/>
        </w:rPr>
        <w:tab/>
      </w:r>
      <w:r>
        <w:rPr>
          <w:rFonts w:ascii="Arial" w:hAnsi="Arial" w:hint="cs"/>
          <w:b/>
          <w:bCs/>
          <w:szCs w:val="24"/>
          <w:u w:val="single"/>
          <w:rtl/>
        </w:rPr>
        <w:t>המלצות הביקורת</w:t>
      </w:r>
    </w:p>
    <w:p w:rsidR="006055C2" w:rsidRDefault="007622BA">
      <w:pPr>
        <w:spacing w:line="360" w:lineRule="auto"/>
        <w:ind w:left="1440"/>
        <w:jc w:val="both"/>
        <w:rPr>
          <w:rFonts w:ascii="Arial" w:hAnsi="Arial"/>
          <w:b/>
          <w:bCs/>
          <w:szCs w:val="24"/>
          <w:rtl/>
        </w:rPr>
      </w:pPr>
      <w:r>
        <w:rPr>
          <w:rFonts w:ascii="Arial" w:hAnsi="Arial" w:hint="cs"/>
          <w:b/>
          <w:bCs/>
          <w:szCs w:val="24"/>
          <w:rtl/>
        </w:rPr>
        <w:t xml:space="preserve">3.8 </w:t>
      </w:r>
      <w:r>
        <w:rPr>
          <w:rFonts w:ascii="Arial" w:hAnsi="Arial" w:hint="cs"/>
          <w:b/>
          <w:bCs/>
          <w:szCs w:val="24"/>
          <w:rtl/>
        </w:rPr>
        <w:tab/>
      </w:r>
      <w:r>
        <w:rPr>
          <w:rFonts w:ascii="Arial" w:hAnsi="Arial" w:hint="cs"/>
          <w:b/>
          <w:bCs/>
          <w:szCs w:val="24"/>
          <w:u w:val="single"/>
          <w:rtl/>
        </w:rPr>
        <w:t>לסעיף 3.8</w:t>
      </w:r>
    </w:p>
    <w:p w:rsidR="006055C2" w:rsidRDefault="007622BA">
      <w:pPr>
        <w:spacing w:line="360" w:lineRule="auto"/>
        <w:ind w:left="2160" w:hanging="720"/>
        <w:jc w:val="both"/>
        <w:rPr>
          <w:rFonts w:ascii="Arial" w:hAnsi="Arial"/>
          <w:b/>
          <w:bCs/>
          <w:szCs w:val="24"/>
          <w:rtl/>
        </w:rPr>
      </w:pPr>
      <w:r>
        <w:rPr>
          <w:rFonts w:ascii="Arial" w:hAnsi="Arial" w:hint="cs"/>
          <w:b/>
          <w:bCs/>
          <w:szCs w:val="24"/>
          <w:rtl/>
        </w:rPr>
        <w:t>3.8.1</w:t>
      </w:r>
      <w:r>
        <w:rPr>
          <w:rFonts w:ascii="Arial" w:hAnsi="Arial" w:hint="cs"/>
          <w:b/>
          <w:bCs/>
          <w:szCs w:val="24"/>
          <w:rtl/>
        </w:rPr>
        <w:tab/>
        <w:t>לבצע חישוב רטרואקטיבי של יתרת הרווח השנתי, מתחילת המיזם, חלקו של השותף ברווחים, ויתרת ההתחייבויות השותף לחברה. כל זאת, על בסיס גישה חשבונאית זהה, בכל השנים הן לגבי הצגת ההכנסות והן לגבי הצגת ההוצאות התקופתיות.  ..."</w:t>
      </w:r>
    </w:p>
    <w:p w:rsidR="006055C2" w:rsidRDefault="007622BA">
      <w:pPr>
        <w:spacing w:line="360" w:lineRule="auto"/>
        <w:ind w:left="720" w:firstLine="720"/>
        <w:jc w:val="both"/>
        <w:rPr>
          <w:rFonts w:ascii="Arial" w:hAnsi="Arial"/>
          <w:b/>
          <w:bCs/>
          <w:sz w:val="28"/>
          <w:rtl/>
        </w:rPr>
      </w:pPr>
      <w:r>
        <w:rPr>
          <w:rFonts w:ascii="Arial" w:hAnsi="Arial" w:hint="cs"/>
          <w:b/>
          <w:bCs/>
          <w:sz w:val="26"/>
          <w:szCs w:val="26"/>
          <w:rtl/>
        </w:rPr>
        <w:t>...</w:t>
      </w:r>
    </w:p>
    <w:p w:rsidR="006055C2" w:rsidRDefault="007622BA">
      <w:pPr>
        <w:spacing w:line="360" w:lineRule="auto"/>
        <w:ind w:left="1440"/>
        <w:jc w:val="both"/>
        <w:rPr>
          <w:rFonts w:ascii="Arial" w:hAnsi="Arial"/>
          <w:b/>
          <w:bCs/>
          <w:szCs w:val="24"/>
          <w:rtl/>
        </w:rPr>
      </w:pPr>
      <w:r>
        <w:rPr>
          <w:rFonts w:ascii="Arial" w:hAnsi="Arial" w:hint="cs"/>
          <w:b/>
          <w:bCs/>
          <w:szCs w:val="24"/>
          <w:rtl/>
        </w:rPr>
        <w:t xml:space="preserve">"בהתאם לנתוני המבקר הפנימי, לאחר שנבדקו ואושרו ע"י חשב, סך </w:t>
      </w:r>
      <w:r>
        <w:rPr>
          <w:rFonts w:ascii="Arial" w:hAnsi="Arial" w:hint="cs"/>
          <w:b/>
          <w:bCs/>
          <w:szCs w:val="24"/>
          <w:u w:val="single"/>
          <w:rtl/>
        </w:rPr>
        <w:t>תשלומי היתר</w:t>
      </w:r>
      <w:r>
        <w:rPr>
          <w:rFonts w:ascii="Arial" w:hAnsi="Arial" w:hint="cs"/>
          <w:b/>
          <w:bCs/>
          <w:szCs w:val="24"/>
          <w:rtl/>
        </w:rPr>
        <w:t xml:space="preserve"> של החברה לשותף בשנים 2006-2003 הסתכמו בכ- 303 אלפי ש"ח לעומת נתוני רו"ח של תשלום יתר בסך 253 אלפי ש"ח, לתקופה זו. </w:t>
      </w:r>
    </w:p>
    <w:p w:rsidR="006055C2" w:rsidRDefault="006055C2">
      <w:pPr>
        <w:spacing w:line="360" w:lineRule="auto"/>
        <w:ind w:left="1440"/>
        <w:jc w:val="both"/>
        <w:rPr>
          <w:rFonts w:ascii="Arial" w:hAnsi="Arial"/>
          <w:b/>
          <w:bCs/>
          <w:szCs w:val="24"/>
          <w:rtl/>
        </w:rPr>
      </w:pPr>
    </w:p>
    <w:p w:rsidR="006055C2" w:rsidRDefault="007622BA">
      <w:pPr>
        <w:spacing w:line="360" w:lineRule="auto"/>
        <w:ind w:left="1440"/>
        <w:jc w:val="both"/>
        <w:rPr>
          <w:rFonts w:ascii="Arial" w:hAnsi="Arial"/>
          <w:b/>
          <w:bCs/>
          <w:szCs w:val="24"/>
          <w:rtl/>
        </w:rPr>
      </w:pPr>
      <w:r>
        <w:rPr>
          <w:rFonts w:ascii="Arial" w:hAnsi="Arial" w:hint="cs"/>
          <w:b/>
          <w:bCs/>
          <w:szCs w:val="24"/>
          <w:rtl/>
        </w:rPr>
        <w:t xml:space="preserve">בשנים 6/2008 </w:t>
      </w:r>
      <w:r>
        <w:rPr>
          <w:rFonts w:ascii="Arial" w:hAnsi="Arial"/>
          <w:b/>
          <w:bCs/>
          <w:szCs w:val="24"/>
          <w:rtl/>
        </w:rPr>
        <w:t>–</w:t>
      </w:r>
      <w:r>
        <w:rPr>
          <w:rFonts w:ascii="Arial" w:hAnsi="Arial" w:hint="cs"/>
          <w:b/>
          <w:bCs/>
          <w:szCs w:val="24"/>
          <w:rtl/>
        </w:rPr>
        <w:t xml:space="preserve"> 2007 בהם הפסיד המיזם, המבקר הפנימי מציג </w:t>
      </w:r>
      <w:r>
        <w:rPr>
          <w:rFonts w:ascii="Arial" w:hAnsi="Arial" w:hint="cs"/>
          <w:b/>
          <w:bCs/>
          <w:szCs w:val="24"/>
          <w:u w:val="single"/>
          <w:rtl/>
        </w:rPr>
        <w:t>התחייבות של השותף למיזם</w:t>
      </w:r>
      <w:r>
        <w:rPr>
          <w:rFonts w:ascii="Arial" w:hAnsi="Arial" w:hint="cs"/>
          <w:b/>
          <w:bCs/>
          <w:szCs w:val="24"/>
          <w:rtl/>
        </w:rPr>
        <w:t xml:space="preserve"> בסך 491 אלפי ש"ח, לעומת 353 אלפי ש"ח שמציג רו"ח מבקר (הפרש של 138 אלפי ש"ח). </w:t>
      </w:r>
    </w:p>
    <w:p w:rsidR="006055C2" w:rsidRDefault="006055C2">
      <w:pPr>
        <w:ind w:left="1440"/>
        <w:jc w:val="both"/>
        <w:rPr>
          <w:rFonts w:ascii="Arial" w:hAnsi="Arial"/>
          <w:b/>
          <w:bCs/>
          <w:szCs w:val="24"/>
          <w:rtl/>
        </w:rPr>
      </w:pPr>
    </w:p>
    <w:p w:rsidR="006055C2" w:rsidRDefault="007622BA">
      <w:pPr>
        <w:spacing w:line="360" w:lineRule="auto"/>
        <w:ind w:left="1440"/>
        <w:jc w:val="both"/>
        <w:rPr>
          <w:rFonts w:ascii="Arial" w:hAnsi="Arial"/>
          <w:b/>
          <w:bCs/>
          <w:szCs w:val="24"/>
          <w:rtl/>
        </w:rPr>
      </w:pPr>
      <w:r>
        <w:rPr>
          <w:rFonts w:ascii="Arial" w:hAnsi="Arial" w:hint="cs"/>
          <w:b/>
          <w:bCs/>
          <w:szCs w:val="24"/>
          <w:u w:val="single"/>
          <w:rtl/>
        </w:rPr>
        <w:t>סה"כ יתרת החוב של השותף שמציג המבקר הפנימי מסתכמת ב- 794 אלפי ש"ח, לעומת 606 אלפי ש"ח שמציג רו"ח מבקר</w:t>
      </w:r>
      <w:r>
        <w:rPr>
          <w:rFonts w:ascii="Arial" w:hAnsi="Arial" w:hint="cs"/>
          <w:b/>
          <w:bCs/>
          <w:szCs w:val="24"/>
          <w:rtl/>
        </w:rPr>
        <w:t>."</w:t>
      </w:r>
    </w:p>
    <w:p w:rsidR="006055C2" w:rsidRDefault="007622BA">
      <w:pPr>
        <w:spacing w:line="360" w:lineRule="auto"/>
        <w:ind w:left="720"/>
        <w:jc w:val="both"/>
        <w:rPr>
          <w:rFonts w:ascii="Arial" w:hAnsi="Arial"/>
          <w:szCs w:val="24"/>
          <w:rtl/>
        </w:rPr>
      </w:pPr>
      <w:r>
        <w:rPr>
          <w:rFonts w:ascii="Arial" w:hAnsi="Arial" w:hint="cs"/>
          <w:szCs w:val="24"/>
          <w:rtl/>
        </w:rPr>
        <w:tab/>
        <w:t xml:space="preserve">(מתוך דו"ח מבקר מס' 23, נספח ט"ו לתצהיר נוריאל; ההדגשה במקור </w:t>
      </w:r>
      <w:r>
        <w:rPr>
          <w:rFonts w:ascii="Arial" w:hAnsi="Arial"/>
          <w:szCs w:val="24"/>
          <w:rtl/>
        </w:rPr>
        <w:t>–</w:t>
      </w:r>
      <w:r>
        <w:rPr>
          <w:rFonts w:ascii="Arial" w:hAnsi="Arial" w:hint="cs"/>
          <w:szCs w:val="24"/>
          <w:rtl/>
        </w:rPr>
        <w:t xml:space="preserve"> א.ג.כ) </w:t>
      </w:r>
    </w:p>
    <w:p w:rsidR="006055C2" w:rsidRDefault="006055C2">
      <w:pPr>
        <w:spacing w:line="360" w:lineRule="auto"/>
        <w:jc w:val="both"/>
        <w:rPr>
          <w:rFonts w:ascii="Arial" w:hAnsi="Arial"/>
          <w:szCs w:val="24"/>
          <w:rtl/>
        </w:rPr>
      </w:pPr>
    </w:p>
    <w:p w:rsidR="006055C2" w:rsidRDefault="007622BA">
      <w:pPr>
        <w:numPr>
          <w:ilvl w:val="0"/>
          <w:numId w:val="3"/>
        </w:numPr>
        <w:spacing w:line="360" w:lineRule="auto"/>
        <w:jc w:val="both"/>
        <w:rPr>
          <w:rFonts w:ascii="Arial" w:hAnsi="Arial"/>
          <w:szCs w:val="24"/>
        </w:rPr>
      </w:pPr>
      <w:r>
        <w:rPr>
          <w:rFonts w:ascii="Arial" w:hAnsi="Arial" w:hint="cs"/>
          <w:szCs w:val="24"/>
          <w:rtl/>
        </w:rPr>
        <w:t xml:space="preserve">התחוור כי שיקים שניתנו כפיקדונות מלקוחות המיזם המשותף של הנתבעת ודורין קופיט בסך כולל של 400 אלף ₪, דווחו כהכנסות אמיתיות, ולכן השותף זכה לקבל סכום גבוה מרווחי המיזם, שלמעשה לא היו. </w:t>
      </w:r>
    </w:p>
    <w:p w:rsidR="006055C2" w:rsidRDefault="006055C2">
      <w:pPr>
        <w:spacing w:line="360" w:lineRule="auto"/>
        <w:jc w:val="both"/>
        <w:rPr>
          <w:rFonts w:ascii="Arial" w:hAnsi="Arial"/>
          <w:szCs w:val="24"/>
        </w:rPr>
      </w:pPr>
    </w:p>
    <w:p w:rsidR="006055C2" w:rsidRDefault="007622BA">
      <w:pPr>
        <w:numPr>
          <w:ilvl w:val="0"/>
          <w:numId w:val="3"/>
        </w:numPr>
        <w:spacing w:line="360" w:lineRule="auto"/>
        <w:jc w:val="both"/>
        <w:rPr>
          <w:rFonts w:ascii="Arial" w:hAnsi="Arial"/>
          <w:szCs w:val="24"/>
          <w:rtl/>
        </w:rPr>
      </w:pPr>
      <w:r>
        <w:rPr>
          <w:rFonts w:ascii="Arial" w:hAnsi="Arial" w:hint="cs"/>
          <w:szCs w:val="24"/>
          <w:rtl/>
        </w:rPr>
        <w:t xml:space="preserve">עוד התברר כי העסקת אשת השותף וכן אחותו היו בניגוד לחוזי רשות החברות והסכומים ששולמו לעובדי המיזם עלו בסכומים ניכרים לעובדי הנתבעת. </w:t>
      </w:r>
    </w:p>
    <w:p w:rsidR="006055C2" w:rsidRDefault="006055C2">
      <w:pPr>
        <w:spacing w:line="360" w:lineRule="auto"/>
        <w:jc w:val="both"/>
        <w:rPr>
          <w:rFonts w:ascii="Arial" w:hAnsi="Arial"/>
          <w:szCs w:val="24"/>
          <w:rtl/>
        </w:rPr>
      </w:pPr>
    </w:p>
    <w:p w:rsidR="006055C2" w:rsidRDefault="007622BA">
      <w:pPr>
        <w:numPr>
          <w:ilvl w:val="0"/>
          <w:numId w:val="3"/>
        </w:numPr>
        <w:spacing w:line="360" w:lineRule="auto"/>
        <w:jc w:val="both"/>
      </w:pPr>
      <w:r>
        <w:rPr>
          <w:rFonts w:ascii="Arial" w:hAnsi="Arial" w:hint="cs"/>
          <w:szCs w:val="24"/>
          <w:rtl/>
        </w:rPr>
        <w:t xml:space="preserve">אין זה המקרה של מתן פיצויים מוגדלים. לא הוכח בפנינו כי נעשתה פנייה לרשויות המוסמכות בעניינו של התובע למתן פיצויי פיטורים מוגדלים או שהמקרה דנן נכלל בגדר המקרים שבהם יש ליתן לעובדי הנתבעת פיצויים מוגדלים. </w:t>
      </w:r>
    </w:p>
    <w:p w:rsidR="006055C2" w:rsidRDefault="007622BA">
      <w:pPr>
        <w:numPr>
          <w:ilvl w:val="0"/>
          <w:numId w:val="3"/>
        </w:numPr>
        <w:spacing w:line="360" w:lineRule="auto"/>
        <w:jc w:val="both"/>
        <w:rPr>
          <w:rStyle w:val="normal-h"/>
          <w:szCs w:val="24"/>
        </w:rPr>
      </w:pPr>
      <w:r>
        <w:rPr>
          <w:rStyle w:val="normal-h"/>
          <w:rFonts w:hint="cs"/>
          <w:szCs w:val="24"/>
          <w:rtl/>
        </w:rPr>
        <w:lastRenderedPageBreak/>
        <w:t xml:space="preserve">התובע לא הציג ולו ראשית ראיה באשר להתחייבות הנתבעת לשלם לו פיצויי פיטורים בשיעור של 150%. </w:t>
      </w:r>
    </w:p>
    <w:p w:rsidR="006055C2" w:rsidRDefault="006055C2">
      <w:pPr>
        <w:spacing w:line="360" w:lineRule="auto"/>
        <w:jc w:val="both"/>
        <w:rPr>
          <w:rStyle w:val="normal-h"/>
          <w:szCs w:val="24"/>
        </w:rPr>
      </w:pPr>
    </w:p>
    <w:p w:rsidR="006055C2" w:rsidRDefault="007622BA">
      <w:pPr>
        <w:spacing w:line="360" w:lineRule="auto"/>
        <w:ind w:left="1440" w:hanging="720"/>
        <w:jc w:val="both"/>
        <w:rPr>
          <w:rStyle w:val="normal-h"/>
          <w:b/>
          <w:bCs/>
          <w:szCs w:val="24"/>
          <w:rtl/>
        </w:rPr>
      </w:pPr>
      <w:r>
        <w:rPr>
          <w:rStyle w:val="normal-h"/>
          <w:rFonts w:hint="cs"/>
          <w:b/>
          <w:bCs/>
          <w:szCs w:val="24"/>
          <w:rtl/>
        </w:rPr>
        <w:t>"</w:t>
      </w:r>
      <w:r>
        <w:rPr>
          <w:rStyle w:val="normal-h"/>
          <w:b/>
          <w:bCs/>
          <w:szCs w:val="24"/>
          <w:rtl/>
        </w:rPr>
        <w:t xml:space="preserve">ש.      </w:t>
      </w:r>
      <w:r>
        <w:rPr>
          <w:rStyle w:val="normal-h"/>
          <w:rFonts w:hint="cs"/>
          <w:b/>
          <w:bCs/>
          <w:szCs w:val="24"/>
          <w:rtl/>
        </w:rPr>
        <w:tab/>
      </w:r>
      <w:r>
        <w:rPr>
          <w:rStyle w:val="normal-h"/>
          <w:b/>
          <w:bCs/>
          <w:szCs w:val="24"/>
          <w:rtl/>
        </w:rPr>
        <w:t xml:space="preserve">איפה יש לך מסמך בכתב, שבו הייתה התחייבות או הסכמה כלשהי של החברה לתת לך 150% פ"פ ? </w:t>
      </w:r>
    </w:p>
    <w:p w:rsidR="006055C2" w:rsidRDefault="007622BA">
      <w:pPr>
        <w:spacing w:line="360" w:lineRule="auto"/>
        <w:ind w:left="1440" w:hanging="720"/>
        <w:jc w:val="both"/>
        <w:rPr>
          <w:rStyle w:val="normal-h"/>
          <w:b/>
          <w:bCs/>
          <w:szCs w:val="24"/>
          <w:rtl/>
        </w:rPr>
      </w:pPr>
      <w:r>
        <w:rPr>
          <w:rStyle w:val="normal-h"/>
          <w:rFonts w:hint="cs"/>
          <w:b/>
          <w:bCs/>
          <w:szCs w:val="24"/>
          <w:rtl/>
        </w:rPr>
        <w:t xml:space="preserve">  </w:t>
      </w:r>
      <w:r>
        <w:rPr>
          <w:rStyle w:val="normal-h"/>
          <w:b/>
          <w:bCs/>
          <w:szCs w:val="24"/>
          <w:rtl/>
        </w:rPr>
        <w:t xml:space="preserve">ת.    </w:t>
      </w:r>
      <w:r>
        <w:rPr>
          <w:rStyle w:val="normal-h"/>
          <w:rFonts w:hint="cs"/>
          <w:b/>
          <w:bCs/>
          <w:szCs w:val="24"/>
          <w:rtl/>
        </w:rPr>
        <w:tab/>
      </w:r>
      <w:r>
        <w:rPr>
          <w:rStyle w:val="normal-h"/>
          <w:b/>
          <w:bCs/>
          <w:szCs w:val="24"/>
          <w:rtl/>
        </w:rPr>
        <w:t xml:space="preserve">התחייבות – אין. מה שיש, פגישה שהתקיימה במשרד מנכ"ל תדמור בנוכחותי ובנוכחות גיא מלר ואמיר... </w:t>
      </w:r>
    </w:p>
    <w:p w:rsidR="006055C2" w:rsidRDefault="007622BA">
      <w:pPr>
        <w:spacing w:line="360" w:lineRule="auto"/>
        <w:ind w:left="720"/>
        <w:jc w:val="both"/>
        <w:rPr>
          <w:rStyle w:val="normal-h"/>
          <w:b/>
          <w:bCs/>
          <w:szCs w:val="24"/>
          <w:rtl/>
        </w:rPr>
      </w:pPr>
      <w:r>
        <w:rPr>
          <w:rStyle w:val="normal-h"/>
          <w:rFonts w:hint="cs"/>
          <w:b/>
          <w:bCs/>
          <w:szCs w:val="24"/>
          <w:rtl/>
        </w:rPr>
        <w:t xml:space="preserve">  </w:t>
      </w:r>
      <w:r>
        <w:rPr>
          <w:rStyle w:val="normal-h"/>
          <w:b/>
          <w:bCs/>
          <w:szCs w:val="24"/>
          <w:rtl/>
        </w:rPr>
        <w:t xml:space="preserve">ש.       </w:t>
      </w:r>
      <w:r>
        <w:rPr>
          <w:rStyle w:val="normal-h"/>
          <w:rFonts w:hint="cs"/>
          <w:b/>
          <w:bCs/>
          <w:szCs w:val="24"/>
          <w:rtl/>
        </w:rPr>
        <w:tab/>
      </w:r>
      <w:r>
        <w:rPr>
          <w:rStyle w:val="normal-h"/>
          <w:b/>
          <w:bCs/>
          <w:szCs w:val="24"/>
          <w:rtl/>
        </w:rPr>
        <w:t xml:space="preserve">שאלתי איפה יש לך מסמך לא שאלתי על פגישה. </w:t>
      </w:r>
    </w:p>
    <w:p w:rsidR="006055C2" w:rsidRDefault="007622BA">
      <w:pPr>
        <w:spacing w:line="360" w:lineRule="auto"/>
        <w:ind w:left="720"/>
        <w:jc w:val="both"/>
        <w:rPr>
          <w:rStyle w:val="normal-h"/>
          <w:b/>
          <w:bCs/>
          <w:szCs w:val="24"/>
          <w:rtl/>
        </w:rPr>
      </w:pPr>
      <w:r>
        <w:rPr>
          <w:rStyle w:val="normal-h"/>
          <w:rFonts w:hint="cs"/>
          <w:b/>
          <w:bCs/>
          <w:szCs w:val="24"/>
          <w:rtl/>
        </w:rPr>
        <w:t xml:space="preserve">  </w:t>
      </w:r>
      <w:r>
        <w:rPr>
          <w:rStyle w:val="normal-h"/>
          <w:b/>
          <w:bCs/>
          <w:szCs w:val="24"/>
          <w:rtl/>
        </w:rPr>
        <w:t xml:space="preserve">ת.       </w:t>
      </w:r>
      <w:r>
        <w:rPr>
          <w:rStyle w:val="normal-h"/>
          <w:rFonts w:hint="cs"/>
          <w:b/>
          <w:bCs/>
          <w:szCs w:val="24"/>
          <w:rtl/>
        </w:rPr>
        <w:tab/>
      </w:r>
      <w:r>
        <w:rPr>
          <w:rStyle w:val="normal-h"/>
          <w:b/>
          <w:bCs/>
          <w:szCs w:val="24"/>
          <w:rtl/>
        </w:rPr>
        <w:t>אין מסמך. אם היה לי מסמך הייתי מציג אותו.</w:t>
      </w:r>
      <w:r>
        <w:rPr>
          <w:rStyle w:val="normal-h"/>
          <w:rFonts w:hint="cs"/>
          <w:b/>
          <w:bCs/>
          <w:szCs w:val="24"/>
          <w:rtl/>
        </w:rPr>
        <w:t>"</w:t>
      </w:r>
    </w:p>
    <w:p w:rsidR="006055C2" w:rsidRDefault="007622BA">
      <w:pPr>
        <w:spacing w:line="360" w:lineRule="auto"/>
        <w:ind w:left="720" w:firstLine="720"/>
        <w:jc w:val="both"/>
        <w:rPr>
          <w:rStyle w:val="normal-h"/>
          <w:szCs w:val="24"/>
          <w:rtl/>
        </w:rPr>
      </w:pPr>
      <w:r>
        <w:rPr>
          <w:rStyle w:val="normal-h"/>
          <w:rFonts w:hint="cs"/>
          <w:szCs w:val="24"/>
          <w:rtl/>
        </w:rPr>
        <w:t>(עמ' 6 לפרוטוקול שורות 21-18)</w:t>
      </w:r>
    </w:p>
    <w:p w:rsidR="006055C2" w:rsidRDefault="006055C2">
      <w:pPr>
        <w:spacing w:line="360" w:lineRule="auto"/>
        <w:ind w:left="720"/>
        <w:jc w:val="both"/>
        <w:rPr>
          <w:rStyle w:val="normal-h"/>
          <w:szCs w:val="24"/>
        </w:rPr>
      </w:pPr>
    </w:p>
    <w:p w:rsidR="006055C2" w:rsidRDefault="007622BA">
      <w:pPr>
        <w:numPr>
          <w:ilvl w:val="0"/>
          <w:numId w:val="3"/>
        </w:numPr>
        <w:spacing w:line="360" w:lineRule="auto"/>
        <w:jc w:val="both"/>
        <w:rPr>
          <w:rStyle w:val="normal-h"/>
          <w:szCs w:val="24"/>
        </w:rPr>
      </w:pPr>
      <w:r>
        <w:rPr>
          <w:rStyle w:val="normal-h"/>
          <w:rFonts w:hint="cs"/>
          <w:szCs w:val="24"/>
          <w:rtl/>
        </w:rPr>
        <w:t xml:space="preserve">זאת ועוד, מפרוטוקול הדירקטוריון עולה כי הוחלט לשקול את העניין בעוד חודשיים (נספח י"ב לתצהיר מלר) והחלטת הדירקטוריון לשלם לתובע פיצויי פיטורים בשיעור של 100% התקבלה ברוב של 4 נגד 2 ואף היו חברי דירקטוריון שחשבו שיש לשלול את פיצויי הפיטורים מהתובע ולתבוע אותו על הנזקים שגרם אך לא נתקבלה החלטה שכזו. </w:t>
      </w:r>
    </w:p>
    <w:p w:rsidR="006055C2" w:rsidRDefault="006055C2">
      <w:pPr>
        <w:spacing w:line="360" w:lineRule="auto"/>
        <w:jc w:val="both"/>
        <w:rPr>
          <w:rFonts w:ascii="Arial" w:hAnsi="Arial"/>
          <w:szCs w:val="24"/>
          <w:rtl/>
        </w:rPr>
      </w:pPr>
    </w:p>
    <w:p w:rsidR="006055C2" w:rsidRDefault="007622BA">
      <w:pPr>
        <w:spacing w:line="360" w:lineRule="auto"/>
        <w:jc w:val="both"/>
        <w:rPr>
          <w:rFonts w:ascii="Arial" w:hAnsi="Arial"/>
          <w:b/>
          <w:bCs/>
          <w:sz w:val="28"/>
          <w:u w:val="single"/>
          <w:rtl/>
        </w:rPr>
      </w:pPr>
      <w:r>
        <w:rPr>
          <w:rFonts w:ascii="Arial" w:hAnsi="Arial" w:hint="cs"/>
          <w:b/>
          <w:bCs/>
          <w:sz w:val="28"/>
          <w:u w:val="single"/>
          <w:rtl/>
        </w:rPr>
        <w:t>נפקותו המשפטית של הסכם העבודה שנחתם בין הצדדים</w:t>
      </w:r>
      <w:r>
        <w:rPr>
          <w:rFonts w:ascii="Arial" w:hAnsi="Arial" w:hint="cs"/>
          <w:b/>
          <w:bCs/>
          <w:sz w:val="28"/>
          <w:rtl/>
        </w:rPr>
        <w:t>:</w:t>
      </w:r>
    </w:p>
    <w:p w:rsidR="006055C2" w:rsidRDefault="007622BA">
      <w:pPr>
        <w:numPr>
          <w:ilvl w:val="0"/>
          <w:numId w:val="3"/>
        </w:numPr>
        <w:spacing w:line="360" w:lineRule="auto"/>
        <w:jc w:val="both"/>
        <w:rPr>
          <w:rStyle w:val="normal-h"/>
          <w:szCs w:val="24"/>
        </w:rPr>
      </w:pPr>
      <w:r>
        <w:rPr>
          <w:rStyle w:val="normal-h"/>
          <w:rFonts w:hint="cs"/>
          <w:szCs w:val="24"/>
          <w:rtl/>
        </w:rPr>
        <w:t>על פי ההלכה הפסוקה, אם נחתם עם עובד הסכם שבו מתחייבת מעבידה לשלם לו שכר מסויים ו/או תנאי שכר אחרים ובמהלך תקופת עבודתו מקבל העובד שכר נמוך יותר או תנאי שכר שונים מהמוסכם והצדדים שותקים, ייראה הדבר כאילו נתנו הצדדים הסכמתם לכך מלכתחילה. לכן, אין לעובד או למעביד עילת תביעה כנגד מעבידתו או כנגד עובדו מאחר שבשתיקתם הסכימו לשינוי בחוזה העבודה (</w:t>
      </w:r>
      <w:hyperlink r:id="rId8" w:history="1">
        <w:r w:rsidRPr="007622BA">
          <w:rPr>
            <w:rStyle w:val="normal-h"/>
            <w:color w:val="0000FF"/>
            <w:szCs w:val="24"/>
            <w:u w:val="single"/>
            <w:rtl/>
          </w:rPr>
          <w:t>תב"ע נד/86-3</w:t>
        </w:r>
      </w:hyperlink>
      <w:r>
        <w:rPr>
          <w:rStyle w:val="normal-h"/>
          <w:rFonts w:hint="cs"/>
          <w:szCs w:val="24"/>
          <w:rtl/>
        </w:rPr>
        <w:t xml:space="preserve"> (ארצי) </w:t>
      </w:r>
      <w:r>
        <w:rPr>
          <w:rStyle w:val="normal-h"/>
          <w:rFonts w:hint="cs"/>
          <w:b/>
          <w:bCs/>
          <w:szCs w:val="24"/>
          <w:rtl/>
        </w:rPr>
        <w:t>יוחנן גולן נ. אי.אל.די בע"מ</w:t>
      </w:r>
      <w:r>
        <w:rPr>
          <w:rStyle w:val="normal-h"/>
          <w:rFonts w:hint="cs"/>
          <w:szCs w:val="24"/>
          <w:rtl/>
        </w:rPr>
        <w:t xml:space="preserve"> פד"ע כ"ו עמ' 270). </w:t>
      </w:r>
    </w:p>
    <w:p w:rsidR="006055C2" w:rsidRDefault="006055C2">
      <w:pPr>
        <w:spacing w:line="360" w:lineRule="auto"/>
        <w:jc w:val="both"/>
        <w:rPr>
          <w:rStyle w:val="normal-h"/>
          <w:szCs w:val="24"/>
        </w:rPr>
      </w:pPr>
    </w:p>
    <w:p w:rsidR="006055C2" w:rsidRDefault="007622BA">
      <w:pPr>
        <w:numPr>
          <w:ilvl w:val="0"/>
          <w:numId w:val="3"/>
        </w:numPr>
        <w:spacing w:line="360" w:lineRule="auto"/>
        <w:jc w:val="both"/>
        <w:rPr>
          <w:rStyle w:val="normal-h"/>
          <w:rFonts w:ascii="Arial" w:hAnsi="Arial"/>
          <w:szCs w:val="24"/>
        </w:rPr>
      </w:pPr>
      <w:r>
        <w:rPr>
          <w:rStyle w:val="normal-h"/>
          <w:rFonts w:hint="cs"/>
          <w:szCs w:val="24"/>
          <w:rtl/>
        </w:rPr>
        <w:t xml:space="preserve">לפי ההסכם האישי היה על הנתבעת להפריש בעבור התובע לביטוח מנהלים 18.33% (8.33, 5, 5) בלבד אולם בפועל הופרשו 6% (חלק עובד בגין גמל), 6% (פיצויים) ו-7.5% (חלק מעביד בגין גמל) (נספח י' לתצהיר נוריאל). </w:t>
      </w:r>
    </w:p>
    <w:p w:rsidR="006055C2" w:rsidRDefault="006055C2">
      <w:pPr>
        <w:spacing w:line="360" w:lineRule="auto"/>
        <w:jc w:val="both"/>
        <w:rPr>
          <w:rFonts w:ascii="Arial" w:hAnsi="Arial"/>
          <w:szCs w:val="24"/>
        </w:rPr>
      </w:pPr>
    </w:p>
    <w:p w:rsidR="006055C2" w:rsidRDefault="007622BA">
      <w:pPr>
        <w:numPr>
          <w:ilvl w:val="0"/>
          <w:numId w:val="3"/>
        </w:numPr>
        <w:spacing w:line="360" w:lineRule="auto"/>
        <w:jc w:val="both"/>
        <w:rPr>
          <w:rFonts w:ascii="Arial" w:hAnsi="Arial"/>
          <w:szCs w:val="24"/>
          <w:rtl/>
        </w:rPr>
      </w:pPr>
      <w:r>
        <w:rPr>
          <w:rFonts w:ascii="Arial" w:hAnsi="Arial" w:hint="cs"/>
          <w:szCs w:val="24"/>
          <w:rtl/>
        </w:rPr>
        <w:t xml:space="preserve">ההפרשות שנעשו לזכות התובע היטיבו עימו. במקום הפרשה לגמל (חלק מעביד) שסוכם עימו הופרשו 7.5%. </w:t>
      </w:r>
    </w:p>
    <w:p w:rsidR="006055C2" w:rsidRDefault="006055C2">
      <w:pPr>
        <w:spacing w:line="360" w:lineRule="auto"/>
        <w:jc w:val="both"/>
        <w:rPr>
          <w:rStyle w:val="normal-h"/>
          <w:szCs w:val="24"/>
        </w:rPr>
      </w:pPr>
    </w:p>
    <w:p w:rsidR="006055C2" w:rsidRDefault="007622BA">
      <w:pPr>
        <w:numPr>
          <w:ilvl w:val="0"/>
          <w:numId w:val="3"/>
        </w:numPr>
        <w:spacing w:line="360" w:lineRule="auto"/>
        <w:jc w:val="both"/>
        <w:rPr>
          <w:rStyle w:val="normal-h"/>
          <w:szCs w:val="24"/>
        </w:rPr>
      </w:pPr>
      <w:r>
        <w:rPr>
          <w:rStyle w:val="normal-h"/>
          <w:rFonts w:hint="cs"/>
          <w:szCs w:val="24"/>
          <w:rtl/>
        </w:rPr>
        <w:t xml:space="preserve">התובע טוען כי המנכ"ל לשעבר של הנתבעת סיכם עימו על הגדלת ההפרשות, אולם התובע לא טרח להעידו: </w:t>
      </w:r>
    </w:p>
    <w:p w:rsidR="006055C2" w:rsidRDefault="006055C2">
      <w:pPr>
        <w:spacing w:line="360" w:lineRule="auto"/>
        <w:jc w:val="both"/>
        <w:rPr>
          <w:rStyle w:val="normal-h"/>
          <w:szCs w:val="24"/>
        </w:rPr>
      </w:pPr>
    </w:p>
    <w:p w:rsidR="006055C2" w:rsidRDefault="007622BA">
      <w:pPr>
        <w:spacing w:line="360" w:lineRule="auto"/>
        <w:ind w:left="720"/>
        <w:jc w:val="both"/>
        <w:rPr>
          <w:rStyle w:val="normal-h"/>
          <w:b/>
          <w:bCs/>
          <w:szCs w:val="24"/>
          <w:rtl/>
        </w:rPr>
      </w:pPr>
      <w:r>
        <w:rPr>
          <w:rStyle w:val="normal-h"/>
          <w:rFonts w:hint="cs"/>
          <w:b/>
          <w:bCs/>
          <w:szCs w:val="24"/>
          <w:rtl/>
        </w:rPr>
        <w:t>"</w:t>
      </w:r>
      <w:r>
        <w:rPr>
          <w:rStyle w:val="normal-h"/>
          <w:b/>
          <w:bCs/>
          <w:szCs w:val="24"/>
          <w:rtl/>
        </w:rPr>
        <w:t xml:space="preserve">ש.       אתה לא עונה על שאלתי – למה לא הבאת אותו להעיד ? </w:t>
      </w:r>
    </w:p>
    <w:p w:rsidR="006055C2" w:rsidRDefault="007622BA">
      <w:pPr>
        <w:spacing w:line="360" w:lineRule="auto"/>
        <w:ind w:left="720"/>
        <w:jc w:val="both"/>
        <w:rPr>
          <w:rStyle w:val="normal-h"/>
          <w:b/>
          <w:bCs/>
          <w:szCs w:val="24"/>
          <w:rtl/>
        </w:rPr>
      </w:pPr>
      <w:r>
        <w:rPr>
          <w:rStyle w:val="normal-h"/>
          <w:rFonts w:hint="cs"/>
          <w:b/>
          <w:bCs/>
          <w:szCs w:val="24"/>
          <w:rtl/>
        </w:rPr>
        <w:t xml:space="preserve">  </w:t>
      </w:r>
      <w:r>
        <w:rPr>
          <w:rStyle w:val="normal-h"/>
          <w:b/>
          <w:bCs/>
          <w:szCs w:val="24"/>
          <w:rtl/>
        </w:rPr>
        <w:t>ת.        (העד פורש ידיו לצדדים) אין תשובה.</w:t>
      </w:r>
      <w:r>
        <w:rPr>
          <w:rStyle w:val="normal-h"/>
          <w:rFonts w:hint="cs"/>
          <w:b/>
          <w:bCs/>
          <w:szCs w:val="24"/>
          <w:rtl/>
        </w:rPr>
        <w:t>"</w:t>
      </w:r>
    </w:p>
    <w:p w:rsidR="006055C2" w:rsidRDefault="007622BA">
      <w:pPr>
        <w:spacing w:line="360" w:lineRule="auto"/>
        <w:ind w:left="720" w:firstLine="720"/>
        <w:jc w:val="both"/>
        <w:rPr>
          <w:rStyle w:val="normal-h"/>
          <w:szCs w:val="24"/>
          <w:rtl/>
        </w:rPr>
      </w:pPr>
      <w:r>
        <w:rPr>
          <w:rStyle w:val="normal-h"/>
          <w:rFonts w:hint="cs"/>
          <w:szCs w:val="24"/>
          <w:rtl/>
        </w:rPr>
        <w:lastRenderedPageBreak/>
        <w:t>(עמ' 5 לפרוטוקול שורות 5-4)</w:t>
      </w:r>
    </w:p>
    <w:p w:rsidR="006055C2" w:rsidRDefault="006055C2">
      <w:pPr>
        <w:spacing w:line="360" w:lineRule="auto"/>
        <w:ind w:left="720"/>
        <w:jc w:val="both"/>
        <w:rPr>
          <w:rStyle w:val="normal-h"/>
          <w:szCs w:val="24"/>
        </w:rPr>
      </w:pPr>
    </w:p>
    <w:p w:rsidR="006055C2" w:rsidRDefault="007622BA">
      <w:pPr>
        <w:spacing w:line="360" w:lineRule="auto"/>
        <w:ind w:left="720"/>
        <w:jc w:val="both"/>
        <w:rPr>
          <w:rStyle w:val="normal-h"/>
          <w:szCs w:val="24"/>
        </w:rPr>
      </w:pPr>
      <w:r>
        <w:rPr>
          <w:rStyle w:val="normal-h"/>
          <w:rFonts w:hint="cs"/>
          <w:szCs w:val="24"/>
          <w:rtl/>
        </w:rPr>
        <w:t xml:space="preserve">זאת ועוד, אילו אומנם היה הסכם עם המנכ"ל, היה צריך להביאו לאישור / ידיעת הרשות החברות הממשלתיות. אין מחלוקת כי לא נמצא אישור שכזה. </w:t>
      </w:r>
    </w:p>
    <w:p w:rsidR="006055C2" w:rsidRDefault="006055C2">
      <w:pPr>
        <w:spacing w:line="360" w:lineRule="auto"/>
        <w:jc w:val="both"/>
        <w:rPr>
          <w:rStyle w:val="normal-h"/>
          <w:szCs w:val="24"/>
        </w:rPr>
      </w:pPr>
    </w:p>
    <w:p w:rsidR="006055C2" w:rsidRDefault="007622BA">
      <w:pPr>
        <w:numPr>
          <w:ilvl w:val="0"/>
          <w:numId w:val="3"/>
        </w:numPr>
        <w:spacing w:line="360" w:lineRule="auto"/>
        <w:jc w:val="both"/>
        <w:rPr>
          <w:sz w:val="20"/>
          <w:szCs w:val="24"/>
        </w:rPr>
      </w:pPr>
      <w:r>
        <w:rPr>
          <w:rFonts w:hint="cs"/>
          <w:sz w:val="20"/>
          <w:szCs w:val="24"/>
          <w:rtl/>
        </w:rPr>
        <w:t>לטענת התובע, בהצטרפותו לקרן הפנסיה נחסך מהנתבעת תשלום של 2.5% משכרו של התובע בעבור אובדן כושר עבודה, כך שגם אם הופרשו בגינו מעבר לקבוע בהסכם בעבור גמל, נחסכו אותם 2.5% מהנתבעת בעבור אובדן כושר עבודה. אין בידינו לקבל טענה זו</w:t>
      </w:r>
      <w:r>
        <w:rPr>
          <w:rStyle w:val="normal-h"/>
          <w:rFonts w:hint="cs"/>
          <w:szCs w:val="24"/>
          <w:rtl/>
        </w:rPr>
        <w:t xml:space="preserve">. </w:t>
      </w:r>
      <w:r>
        <w:rPr>
          <w:rFonts w:hint="cs"/>
          <w:sz w:val="20"/>
          <w:szCs w:val="24"/>
          <w:rtl/>
        </w:rPr>
        <w:t xml:space="preserve">ראשית, כאמור לעיל, היה על התובע ליידע את הנתבעת בדבר הגדלת סכומי ההפרשות  בגינו, בוודאי כאשר הוא הינו חשב הנתבעת ושנית, טענת הנתבעת כי התובע בוטח בביטוח מחלה לא הוזמה על ידי התובע: </w:t>
      </w:r>
    </w:p>
    <w:p w:rsidR="006055C2" w:rsidRDefault="006055C2">
      <w:pPr>
        <w:spacing w:line="360" w:lineRule="auto"/>
        <w:rPr>
          <w:sz w:val="20"/>
          <w:szCs w:val="24"/>
          <w:rtl/>
        </w:rPr>
      </w:pPr>
    </w:p>
    <w:p w:rsidR="006055C2" w:rsidRDefault="007622BA">
      <w:pPr>
        <w:spacing w:line="360" w:lineRule="auto"/>
        <w:ind w:left="720"/>
        <w:jc w:val="both"/>
        <w:rPr>
          <w:b/>
          <w:bCs/>
          <w:sz w:val="20"/>
          <w:szCs w:val="24"/>
          <w:rtl/>
        </w:rPr>
      </w:pPr>
      <w:r>
        <w:rPr>
          <w:rFonts w:hint="cs"/>
          <w:b/>
          <w:bCs/>
          <w:sz w:val="20"/>
          <w:szCs w:val="24"/>
          <w:rtl/>
        </w:rPr>
        <w:t>"</w:t>
      </w:r>
      <w:r>
        <w:rPr>
          <w:b/>
          <w:bCs/>
          <w:sz w:val="20"/>
          <w:szCs w:val="24"/>
          <w:rtl/>
        </w:rPr>
        <w:t xml:space="preserve">ש.      </w:t>
      </w:r>
      <w:r>
        <w:rPr>
          <w:rFonts w:hint="cs"/>
          <w:b/>
          <w:bCs/>
          <w:sz w:val="20"/>
          <w:szCs w:val="24"/>
          <w:rtl/>
        </w:rPr>
        <w:tab/>
      </w:r>
      <w:r>
        <w:rPr>
          <w:b/>
          <w:bCs/>
          <w:sz w:val="20"/>
          <w:szCs w:val="24"/>
          <w:rtl/>
        </w:rPr>
        <w:t xml:space="preserve">החברה ביצעה הפרשות לפי הסעיף הזה ? </w:t>
      </w:r>
    </w:p>
    <w:p w:rsidR="006055C2" w:rsidRDefault="007622BA">
      <w:pPr>
        <w:spacing w:line="360" w:lineRule="auto"/>
        <w:ind w:left="1440" w:hanging="720"/>
        <w:jc w:val="both"/>
        <w:rPr>
          <w:b/>
          <w:bCs/>
          <w:sz w:val="20"/>
          <w:szCs w:val="24"/>
          <w:rtl/>
        </w:rPr>
      </w:pPr>
      <w:r>
        <w:rPr>
          <w:rFonts w:hint="cs"/>
          <w:b/>
          <w:bCs/>
          <w:sz w:val="20"/>
          <w:szCs w:val="24"/>
          <w:rtl/>
        </w:rPr>
        <w:t xml:space="preserve">  </w:t>
      </w:r>
      <w:r>
        <w:rPr>
          <w:b/>
          <w:bCs/>
          <w:sz w:val="20"/>
          <w:szCs w:val="24"/>
          <w:rtl/>
        </w:rPr>
        <w:t xml:space="preserve">ת.       </w:t>
      </w:r>
      <w:r>
        <w:rPr>
          <w:rFonts w:hint="cs"/>
          <w:b/>
          <w:bCs/>
          <w:sz w:val="20"/>
          <w:szCs w:val="24"/>
          <w:rtl/>
        </w:rPr>
        <w:tab/>
      </w:r>
      <w:r>
        <w:rPr>
          <w:b/>
          <w:bCs/>
          <w:sz w:val="20"/>
          <w:szCs w:val="24"/>
          <w:rtl/>
        </w:rPr>
        <w:t xml:space="preserve">למטב ידיעתי לא, אבל זה אולי דורש בדיקה. אני רוצה להוסיף שהפקדות לסעיף אבדן כושר עבודה (ריסק) הן הוצאות לחברה ולא נחסכות למעביד, בחברה מונהג מזה שנים בטוח מחלה בחברת "הפניקס" המפצה על תקופות מחלה ופציעה בתקופות של 3 חודשים ויותר. </w:t>
      </w:r>
    </w:p>
    <w:p w:rsidR="006055C2" w:rsidRDefault="007622BA">
      <w:pPr>
        <w:spacing w:line="360" w:lineRule="auto"/>
        <w:ind w:left="1440" w:hanging="720"/>
        <w:jc w:val="both"/>
        <w:rPr>
          <w:b/>
          <w:bCs/>
          <w:sz w:val="20"/>
          <w:szCs w:val="24"/>
          <w:rtl/>
        </w:rPr>
      </w:pPr>
      <w:r>
        <w:rPr>
          <w:rFonts w:hint="cs"/>
          <w:b/>
          <w:bCs/>
          <w:sz w:val="20"/>
          <w:szCs w:val="24"/>
          <w:rtl/>
        </w:rPr>
        <w:t xml:space="preserve">  ...</w:t>
      </w:r>
    </w:p>
    <w:p w:rsidR="006055C2" w:rsidRDefault="007622BA">
      <w:pPr>
        <w:spacing w:line="360" w:lineRule="auto"/>
        <w:ind w:left="1440" w:hanging="720"/>
        <w:jc w:val="both"/>
        <w:rPr>
          <w:b/>
          <w:bCs/>
          <w:sz w:val="16"/>
          <w:szCs w:val="20"/>
          <w:rtl/>
        </w:rPr>
      </w:pPr>
      <w:r>
        <w:rPr>
          <w:rStyle w:val="normal-h"/>
          <w:rFonts w:hint="cs"/>
          <w:b/>
          <w:bCs/>
          <w:sz w:val="20"/>
          <w:szCs w:val="24"/>
          <w:rtl/>
        </w:rPr>
        <w:t xml:space="preserve">  ת. </w:t>
      </w:r>
      <w:r>
        <w:rPr>
          <w:rStyle w:val="normal-h"/>
          <w:rFonts w:hint="cs"/>
          <w:b/>
          <w:bCs/>
          <w:sz w:val="20"/>
          <w:szCs w:val="24"/>
          <w:rtl/>
        </w:rPr>
        <w:tab/>
      </w:r>
      <w:r>
        <w:rPr>
          <w:rStyle w:val="normal-h"/>
          <w:b/>
          <w:bCs/>
          <w:sz w:val="20"/>
          <w:szCs w:val="24"/>
          <w:rtl/>
        </w:rPr>
        <w:t>אני לא רואה את הרלוונטיות של הפקדות המעביד שהן הוצאות לחבר</w:t>
      </w:r>
      <w:r>
        <w:rPr>
          <w:rStyle w:val="normal-h"/>
          <w:rFonts w:hint="cs"/>
          <w:b/>
          <w:bCs/>
          <w:sz w:val="20"/>
          <w:szCs w:val="24"/>
          <w:rtl/>
        </w:rPr>
        <w:t>ה...</w:t>
      </w:r>
      <w:r>
        <w:rPr>
          <w:rFonts w:hint="cs"/>
          <w:b/>
          <w:bCs/>
          <w:sz w:val="16"/>
          <w:szCs w:val="20"/>
          <w:rtl/>
        </w:rPr>
        <w:t>"</w:t>
      </w:r>
    </w:p>
    <w:p w:rsidR="006055C2" w:rsidRDefault="007622BA">
      <w:pPr>
        <w:spacing w:line="360" w:lineRule="auto"/>
        <w:ind w:left="720" w:firstLine="720"/>
        <w:rPr>
          <w:sz w:val="20"/>
          <w:szCs w:val="24"/>
          <w:rtl/>
        </w:rPr>
      </w:pPr>
      <w:r>
        <w:rPr>
          <w:rFonts w:hint="cs"/>
          <w:sz w:val="20"/>
          <w:szCs w:val="24"/>
          <w:rtl/>
        </w:rPr>
        <w:t xml:space="preserve">(עדות נוריאל, עמ' 15 לפרוטוקול שורות 30-27 וכן עמ' 16 שורה 4). </w:t>
      </w:r>
    </w:p>
    <w:p w:rsidR="006055C2" w:rsidRDefault="006055C2">
      <w:pPr>
        <w:spacing w:line="360" w:lineRule="auto"/>
        <w:jc w:val="both"/>
        <w:rPr>
          <w:rStyle w:val="normal-h"/>
          <w:szCs w:val="24"/>
          <w:rtl/>
        </w:rPr>
      </w:pPr>
    </w:p>
    <w:p w:rsidR="006055C2" w:rsidRDefault="007622BA">
      <w:pPr>
        <w:numPr>
          <w:ilvl w:val="0"/>
          <w:numId w:val="3"/>
        </w:numPr>
        <w:spacing w:line="360" w:lineRule="auto"/>
        <w:jc w:val="both"/>
        <w:rPr>
          <w:sz w:val="20"/>
          <w:szCs w:val="24"/>
        </w:rPr>
      </w:pPr>
      <w:r>
        <w:rPr>
          <w:rFonts w:ascii="Arial" w:hAnsi="Arial" w:hint="cs"/>
          <w:szCs w:val="24"/>
          <w:rtl/>
        </w:rPr>
        <w:t>התובע מודה בכתב תביעתו כי הפרשות אלה נעשו על פי הנהוג בנתבעת וכי למעשה הצדדים לא נהגו על פי הסכם העבודה:</w:t>
      </w:r>
    </w:p>
    <w:p w:rsidR="006055C2" w:rsidRDefault="006055C2">
      <w:pPr>
        <w:spacing w:line="360" w:lineRule="auto"/>
        <w:jc w:val="both"/>
        <w:rPr>
          <w:rFonts w:ascii="Arial" w:hAnsi="Arial"/>
          <w:szCs w:val="24"/>
          <w:rtl/>
        </w:rPr>
      </w:pPr>
    </w:p>
    <w:p w:rsidR="006055C2" w:rsidRDefault="007622BA">
      <w:pPr>
        <w:spacing w:line="360" w:lineRule="auto"/>
        <w:ind w:left="1440"/>
        <w:jc w:val="both"/>
        <w:rPr>
          <w:rFonts w:ascii="Arial" w:hAnsi="Arial"/>
          <w:b/>
          <w:bCs/>
          <w:szCs w:val="24"/>
          <w:rtl/>
        </w:rPr>
      </w:pPr>
      <w:r>
        <w:rPr>
          <w:rFonts w:ascii="Arial" w:hAnsi="Arial" w:hint="cs"/>
          <w:b/>
          <w:bCs/>
          <w:szCs w:val="24"/>
          <w:rtl/>
        </w:rPr>
        <w:t>"הטענה כי הועברו כספים ביתר למבטחים הינה טענת סרק חסרת בסיס. העברת הכספים נעשתה בהתאם למוסכם ולנהוג בנתבעת ביחס לכלל עובדיה. העברת הכספים ושיעורי ההפרשות נעשו בהתאם להוראות הדין החל בכלל, ועל פי הוראות תקנון מבטחים ו</w:t>
      </w:r>
      <w:hyperlink r:id="rId9" w:history="1">
        <w:r w:rsidRPr="007622BA">
          <w:rPr>
            <w:rFonts w:ascii="Arial" w:hAnsi="Arial"/>
            <w:b/>
            <w:bCs/>
            <w:color w:val="0000FF"/>
            <w:szCs w:val="24"/>
            <w:u w:val="single"/>
            <w:rtl/>
          </w:rPr>
          <w:t>תקנות מס הכנסה</w:t>
        </w:r>
      </w:hyperlink>
      <w:r>
        <w:rPr>
          <w:rFonts w:ascii="Arial" w:hAnsi="Arial" w:hint="cs"/>
          <w:b/>
          <w:bCs/>
          <w:szCs w:val="24"/>
          <w:rtl/>
        </w:rPr>
        <w:t xml:space="preserve"> (כללים לאישור ולניהול קופות גמל), כפי שהתעדכנו לאורך השנים בכל הנוגע להעברת כספים לקרן פנסיה ותיקה. </w:t>
      </w:r>
      <w:r>
        <w:rPr>
          <w:rFonts w:ascii="Arial" w:hAnsi="Arial"/>
          <w:b/>
          <w:bCs/>
          <w:szCs w:val="24"/>
          <w:rtl/>
        </w:rPr>
        <w:br/>
      </w:r>
      <w:r>
        <w:rPr>
          <w:rFonts w:ascii="Arial" w:hAnsi="Arial" w:hint="cs"/>
          <w:b/>
          <w:bCs/>
          <w:szCs w:val="24"/>
          <w:rtl/>
        </w:rPr>
        <w:t xml:space="preserve">... </w:t>
      </w:r>
    </w:p>
    <w:p w:rsidR="006055C2" w:rsidRDefault="007622BA">
      <w:pPr>
        <w:spacing w:line="360" w:lineRule="auto"/>
        <w:ind w:left="1440"/>
        <w:jc w:val="both"/>
        <w:rPr>
          <w:rFonts w:ascii="Arial" w:hAnsi="Arial"/>
          <w:b/>
          <w:bCs/>
          <w:szCs w:val="24"/>
          <w:rtl/>
        </w:rPr>
      </w:pPr>
      <w:r>
        <w:rPr>
          <w:rFonts w:ascii="Arial" w:hAnsi="Arial" w:hint="cs"/>
          <w:b/>
          <w:bCs/>
          <w:szCs w:val="24"/>
          <w:rtl/>
        </w:rPr>
        <w:t>טענות הנתבעת בהקשר זה אינן מחזיקות מים ודינן להדחות כפי שוודאי יודעת הנתבעת היטב, משעה שאת הסכם העבודה בהקשר זה שינו הסכמותיהם המפורשות והמשתמעות של הצדדים לאורך השנים, ..."</w:t>
      </w:r>
    </w:p>
    <w:p w:rsidR="006055C2" w:rsidRDefault="007622BA">
      <w:pPr>
        <w:spacing w:line="360" w:lineRule="auto"/>
        <w:ind w:left="720" w:firstLine="720"/>
        <w:jc w:val="both"/>
        <w:rPr>
          <w:rFonts w:ascii="Arial" w:hAnsi="Arial"/>
          <w:szCs w:val="24"/>
          <w:rtl/>
        </w:rPr>
      </w:pPr>
      <w:r>
        <w:rPr>
          <w:rFonts w:ascii="Arial" w:hAnsi="Arial" w:hint="cs"/>
          <w:szCs w:val="24"/>
          <w:rtl/>
        </w:rPr>
        <w:t xml:space="preserve"> (סעיף 37 לכתב התביעה)</w:t>
      </w:r>
    </w:p>
    <w:p w:rsidR="006055C2" w:rsidRDefault="006055C2">
      <w:pPr>
        <w:spacing w:line="360" w:lineRule="auto"/>
        <w:jc w:val="both"/>
        <w:rPr>
          <w:rStyle w:val="normal-h"/>
          <w:szCs w:val="24"/>
          <w:rtl/>
        </w:rPr>
      </w:pPr>
    </w:p>
    <w:p w:rsidR="006055C2" w:rsidRDefault="007622BA">
      <w:pPr>
        <w:spacing w:line="360" w:lineRule="auto"/>
        <w:ind w:left="720"/>
        <w:jc w:val="both"/>
        <w:rPr>
          <w:rFonts w:ascii="Arial" w:hAnsi="Arial"/>
          <w:szCs w:val="24"/>
          <w:rtl/>
        </w:rPr>
      </w:pPr>
      <w:r>
        <w:rPr>
          <w:rFonts w:ascii="Arial" w:hAnsi="Arial" w:hint="cs"/>
          <w:szCs w:val="24"/>
          <w:rtl/>
        </w:rPr>
        <w:t xml:space="preserve">בשל תפקידו של התובע, ברי כי התובע ידע כי ההפרשות שעליהן הורה נעשו בניגוד להסכם עבודתו האישי. התובע שימש כאיש הכספים בנתבעת והפריש מיוזמתו את חלקו של </w:t>
      </w:r>
      <w:r>
        <w:rPr>
          <w:rFonts w:ascii="Arial" w:hAnsi="Arial" w:hint="cs"/>
          <w:szCs w:val="24"/>
          <w:rtl/>
        </w:rPr>
        <w:lastRenderedPageBreak/>
        <w:t xml:space="preserve">המעביד לגמל מעבר </w:t>
      </w:r>
      <w:r>
        <w:rPr>
          <w:rFonts w:hint="cs"/>
          <w:sz w:val="20"/>
          <w:szCs w:val="24"/>
          <w:rtl/>
        </w:rPr>
        <w:t xml:space="preserve">לנקבע בהסכם העבודה. התוצאה היא איפוא הנתבעת הפרישה לתובע ביתר </w:t>
      </w:r>
      <w:r>
        <w:rPr>
          <w:rFonts w:ascii="Arial" w:hAnsi="Arial" w:hint="cs"/>
          <w:szCs w:val="24"/>
          <w:rtl/>
        </w:rPr>
        <w:t xml:space="preserve">54,135 ₪ בעבור רכיב הגמל (נספח ח' לתצהיר). </w:t>
      </w:r>
    </w:p>
    <w:p w:rsidR="006055C2" w:rsidRDefault="006055C2">
      <w:pPr>
        <w:spacing w:line="360" w:lineRule="auto"/>
        <w:jc w:val="both"/>
        <w:rPr>
          <w:rStyle w:val="normal-h"/>
          <w:szCs w:val="24"/>
          <w:rtl/>
        </w:rPr>
      </w:pPr>
    </w:p>
    <w:p w:rsidR="006055C2" w:rsidRDefault="007622BA">
      <w:pPr>
        <w:spacing w:line="360" w:lineRule="auto"/>
        <w:ind w:left="720"/>
        <w:jc w:val="both"/>
        <w:rPr>
          <w:rFonts w:ascii="Arial" w:hAnsi="Arial"/>
          <w:szCs w:val="24"/>
        </w:rPr>
      </w:pPr>
      <w:r>
        <w:rPr>
          <w:rFonts w:ascii="Arial" w:hAnsi="Arial" w:hint="cs"/>
          <w:szCs w:val="24"/>
          <w:rtl/>
        </w:rPr>
        <w:t>לטעמנו, הצדק עם הנתבעת ולפיה לא ניתן לחייבה לשלם לתובע פיצויי פיטורים על פי ההסכם האישי תוך כדי התעלמות מההפרשות לגמל שנעשו לאורך השנים מעל להתחייבות הנתבעת בחוזה</w:t>
      </w:r>
      <w:r>
        <w:rPr>
          <w:rFonts w:hint="cs"/>
          <w:sz w:val="20"/>
          <w:szCs w:val="24"/>
          <w:rtl/>
        </w:rPr>
        <w:t xml:space="preserve">. </w:t>
      </w:r>
      <w:r>
        <w:rPr>
          <w:rFonts w:ascii="Arial" w:hAnsi="Arial" w:hint="cs"/>
          <w:szCs w:val="24"/>
          <w:rtl/>
        </w:rPr>
        <w:t>אשר על כן מסקנתנו היא שהצדדים לא נהגו הלכה למעשה על פי ההסכם האישי, אי לכך לא ניתן לגזור זכויותיו של התובע על פי ההסכם העבודה האישי.</w:t>
      </w:r>
    </w:p>
    <w:p w:rsidR="006055C2" w:rsidRDefault="006055C2">
      <w:pPr>
        <w:spacing w:line="360" w:lineRule="auto"/>
        <w:jc w:val="both"/>
        <w:rPr>
          <w:rFonts w:ascii="Arial" w:hAnsi="Arial"/>
          <w:szCs w:val="24"/>
        </w:rPr>
      </w:pPr>
    </w:p>
    <w:p w:rsidR="006055C2" w:rsidRDefault="007622BA">
      <w:pPr>
        <w:numPr>
          <w:ilvl w:val="0"/>
          <w:numId w:val="3"/>
        </w:numPr>
        <w:spacing w:line="360" w:lineRule="auto"/>
        <w:jc w:val="both"/>
        <w:rPr>
          <w:rFonts w:ascii="Arial" w:hAnsi="Arial"/>
          <w:szCs w:val="24"/>
          <w:rtl/>
        </w:rPr>
      </w:pPr>
      <w:r>
        <w:rPr>
          <w:rFonts w:ascii="Arial" w:hAnsi="Arial" w:hint="cs"/>
          <w:szCs w:val="24"/>
          <w:rtl/>
        </w:rPr>
        <w:t>אין המקרה בו עסקינן דומה למקרה שנדון ב</w:t>
      </w:r>
      <w:hyperlink r:id="rId10" w:history="1">
        <w:r w:rsidRPr="007622BA">
          <w:rPr>
            <w:rFonts w:ascii="Arial" w:hAnsi="Arial"/>
            <w:color w:val="0000FF"/>
            <w:szCs w:val="24"/>
            <w:u w:val="single"/>
            <w:rtl/>
          </w:rPr>
          <w:t>ע"ע (ארצי) 282/08</w:t>
        </w:r>
      </w:hyperlink>
      <w:r>
        <w:rPr>
          <w:rFonts w:ascii="Arial" w:hAnsi="Arial" w:hint="cs"/>
          <w:szCs w:val="24"/>
          <w:rtl/>
        </w:rPr>
        <w:t xml:space="preserve"> </w:t>
      </w:r>
      <w:r>
        <w:rPr>
          <w:rFonts w:ascii="Arial" w:hAnsi="Arial" w:hint="cs"/>
          <w:b/>
          <w:bCs/>
          <w:szCs w:val="24"/>
          <w:rtl/>
        </w:rPr>
        <w:t>שמעון בארי - מפעלי תובלה בע"מ</w:t>
      </w:r>
      <w:r>
        <w:rPr>
          <w:rFonts w:ascii="Arial" w:hAnsi="Arial" w:hint="cs"/>
          <w:szCs w:val="24"/>
          <w:rtl/>
        </w:rPr>
        <w:t xml:space="preserve"> (ניתן ביום 9/2/11 </w:t>
      </w:r>
      <w:r>
        <w:rPr>
          <w:rFonts w:ascii="Arial" w:hAnsi="Arial"/>
          <w:szCs w:val="24"/>
          <w:rtl/>
        </w:rPr>
        <w:t>–</w:t>
      </w:r>
      <w:r>
        <w:rPr>
          <w:rFonts w:ascii="Arial" w:hAnsi="Arial" w:hint="cs"/>
          <w:szCs w:val="24"/>
          <w:rtl/>
        </w:rPr>
        <w:t xml:space="preserve"> פורסם במאגרים האלקטרוניים) (להלן: "עניין בארי"), שכן במקרה דנן התובע ויתר בהתנהגותו ובמעשיו על ההסכם האישי ובעניין </w:t>
      </w:r>
      <w:r>
        <w:rPr>
          <w:rFonts w:ascii="Arial" w:hAnsi="Arial" w:hint="cs"/>
          <w:b/>
          <w:bCs/>
          <w:szCs w:val="24"/>
          <w:rtl/>
        </w:rPr>
        <w:t>בארי</w:t>
      </w:r>
      <w:r>
        <w:rPr>
          <w:rFonts w:ascii="Arial" w:hAnsi="Arial" w:hint="cs"/>
          <w:szCs w:val="24"/>
          <w:rtl/>
        </w:rPr>
        <w:t xml:space="preserve"> ההסכם האישי המשיך לחול בין הצדדים. </w:t>
      </w:r>
    </w:p>
    <w:p w:rsidR="006055C2" w:rsidRDefault="006055C2">
      <w:pPr>
        <w:spacing w:line="360" w:lineRule="auto"/>
        <w:jc w:val="both"/>
        <w:rPr>
          <w:rStyle w:val="normal-h"/>
          <w:b/>
          <w:bCs/>
          <w:sz w:val="28"/>
          <w:u w:val="single"/>
          <w:rtl/>
        </w:rPr>
      </w:pPr>
    </w:p>
    <w:p w:rsidR="006055C2" w:rsidRDefault="007622BA">
      <w:pPr>
        <w:spacing w:line="360" w:lineRule="auto"/>
        <w:jc w:val="both"/>
        <w:rPr>
          <w:rStyle w:val="normal-h"/>
          <w:b/>
          <w:bCs/>
          <w:sz w:val="28"/>
          <w:u w:val="single"/>
          <w:rtl/>
        </w:rPr>
      </w:pPr>
      <w:r>
        <w:rPr>
          <w:rStyle w:val="normal-h"/>
          <w:rFonts w:hint="cs"/>
          <w:b/>
          <w:bCs/>
          <w:sz w:val="28"/>
          <w:u w:val="single"/>
          <w:rtl/>
        </w:rPr>
        <w:t xml:space="preserve">האם חל על הצדדים ההסכם הקיבוצי בענף המלונאות </w:t>
      </w:r>
      <w:r>
        <w:rPr>
          <w:b/>
          <w:bCs/>
          <w:u w:val="single"/>
        </w:rPr>
        <w:t>?</w:t>
      </w:r>
    </w:p>
    <w:p w:rsidR="006055C2" w:rsidRDefault="007622BA">
      <w:pPr>
        <w:numPr>
          <w:ilvl w:val="0"/>
          <w:numId w:val="3"/>
        </w:numPr>
        <w:spacing w:line="360" w:lineRule="auto"/>
        <w:jc w:val="both"/>
        <w:rPr>
          <w:rFonts w:ascii="Arial" w:hAnsi="Arial"/>
          <w:szCs w:val="24"/>
        </w:rPr>
      </w:pPr>
      <w:r>
        <w:rPr>
          <w:rFonts w:ascii="Arial" w:hAnsi="Arial" w:hint="cs"/>
          <w:szCs w:val="24"/>
          <w:rtl/>
        </w:rPr>
        <w:t xml:space="preserve">בהסכם העבודה האישי (נספח ב' לכתב התביעה) נקבע בסעיף 5 להסכם כי: </w:t>
      </w:r>
    </w:p>
    <w:p w:rsidR="006055C2" w:rsidRDefault="006055C2">
      <w:pPr>
        <w:spacing w:line="360" w:lineRule="auto"/>
        <w:ind w:left="2160" w:hanging="720"/>
        <w:jc w:val="both"/>
        <w:rPr>
          <w:rFonts w:ascii="Arial" w:hAnsi="Arial"/>
          <w:b/>
          <w:bCs/>
          <w:szCs w:val="24"/>
          <w:rtl/>
        </w:rPr>
      </w:pPr>
    </w:p>
    <w:p w:rsidR="006055C2" w:rsidRDefault="007622BA">
      <w:pPr>
        <w:spacing w:line="360" w:lineRule="auto"/>
        <w:ind w:left="2160" w:hanging="720"/>
        <w:jc w:val="both"/>
        <w:rPr>
          <w:rFonts w:ascii="Arial" w:hAnsi="Arial"/>
          <w:b/>
          <w:bCs/>
          <w:szCs w:val="24"/>
          <w:rtl/>
        </w:rPr>
      </w:pPr>
      <w:r>
        <w:rPr>
          <w:rFonts w:ascii="Arial" w:hAnsi="Arial" w:hint="cs"/>
          <w:b/>
          <w:bCs/>
          <w:szCs w:val="24"/>
          <w:rtl/>
        </w:rPr>
        <w:t xml:space="preserve">"א. </w:t>
      </w:r>
      <w:r>
        <w:rPr>
          <w:rFonts w:ascii="Arial" w:hAnsi="Arial" w:hint="cs"/>
          <w:b/>
          <w:bCs/>
          <w:szCs w:val="24"/>
          <w:rtl/>
        </w:rPr>
        <w:tab/>
        <w:t xml:space="preserve">ההסכם הקיבוצי המיוחד החל על עובדיה האחרים של החברה לא יחול על העובד. </w:t>
      </w:r>
    </w:p>
    <w:p w:rsidR="006055C2" w:rsidRDefault="007622BA">
      <w:pPr>
        <w:spacing w:line="360" w:lineRule="auto"/>
        <w:ind w:left="2160" w:hanging="720"/>
        <w:jc w:val="both"/>
        <w:rPr>
          <w:rFonts w:ascii="Arial" w:hAnsi="Arial"/>
          <w:b/>
          <w:bCs/>
          <w:szCs w:val="24"/>
          <w:rtl/>
        </w:rPr>
      </w:pPr>
      <w:r>
        <w:rPr>
          <w:rFonts w:ascii="Arial" w:hAnsi="Arial" w:hint="cs"/>
          <w:b/>
          <w:bCs/>
          <w:szCs w:val="24"/>
          <w:rtl/>
        </w:rPr>
        <w:t xml:space="preserve">ב. </w:t>
      </w:r>
      <w:r>
        <w:rPr>
          <w:rFonts w:ascii="Arial" w:hAnsi="Arial" w:hint="cs"/>
          <w:b/>
          <w:bCs/>
          <w:szCs w:val="24"/>
          <w:rtl/>
        </w:rPr>
        <w:tab/>
        <w:t>הסכם זה הינו הסכם אישי ומיוחד, המסדיר את היחסים בין החברה לבין העובד וקובע באופן בלעדי את תנאי העסקתו של העובד על ידי החברה."</w:t>
      </w:r>
    </w:p>
    <w:p w:rsidR="006055C2" w:rsidRDefault="006055C2">
      <w:pPr>
        <w:spacing w:line="360" w:lineRule="auto"/>
        <w:jc w:val="both"/>
        <w:rPr>
          <w:rStyle w:val="normal-h"/>
          <w:b/>
          <w:bCs/>
          <w:sz w:val="28"/>
          <w:u w:val="single"/>
          <w:rtl/>
        </w:rPr>
      </w:pPr>
    </w:p>
    <w:p w:rsidR="006055C2" w:rsidRDefault="007622BA">
      <w:pPr>
        <w:numPr>
          <w:ilvl w:val="0"/>
          <w:numId w:val="3"/>
        </w:numPr>
        <w:spacing w:line="360" w:lineRule="auto"/>
        <w:jc w:val="both"/>
        <w:rPr>
          <w:rFonts w:ascii="Arial" w:hAnsi="Arial"/>
          <w:szCs w:val="24"/>
        </w:rPr>
      </w:pPr>
      <w:r>
        <w:rPr>
          <w:rFonts w:ascii="Arial" w:hAnsi="Arial" w:hint="cs"/>
          <w:szCs w:val="24"/>
          <w:rtl/>
        </w:rPr>
        <w:t xml:space="preserve">סעיף זה בהסכם העבודה מתייחס להסכם קיבוצי </w:t>
      </w:r>
      <w:r>
        <w:rPr>
          <w:rFonts w:ascii="Arial" w:hAnsi="Arial" w:hint="cs"/>
          <w:b/>
          <w:bCs/>
          <w:szCs w:val="24"/>
          <w:rtl/>
        </w:rPr>
        <w:t>מיוחד</w:t>
      </w:r>
      <w:r>
        <w:rPr>
          <w:rFonts w:ascii="Arial" w:hAnsi="Arial" w:hint="cs"/>
          <w:szCs w:val="24"/>
          <w:rtl/>
        </w:rPr>
        <w:t xml:space="preserve"> ולא שולל החלה של ההסכם הקיבוצי </w:t>
      </w:r>
      <w:r>
        <w:rPr>
          <w:rFonts w:ascii="Arial" w:hAnsi="Arial" w:hint="cs"/>
          <w:b/>
          <w:bCs/>
          <w:szCs w:val="24"/>
          <w:rtl/>
        </w:rPr>
        <w:t>הכללי</w:t>
      </w:r>
      <w:r>
        <w:rPr>
          <w:rFonts w:ascii="Arial" w:hAnsi="Arial" w:hint="cs"/>
          <w:szCs w:val="24"/>
          <w:rtl/>
        </w:rPr>
        <w:t xml:space="preserve"> בענף המלונאות. סעיף 22 ל</w:t>
      </w:r>
      <w:hyperlink r:id="rId11" w:history="1">
        <w:r w:rsidRPr="007622BA">
          <w:rPr>
            <w:rFonts w:ascii="Arial" w:hAnsi="Arial"/>
            <w:color w:val="0000FF"/>
            <w:szCs w:val="24"/>
            <w:u w:val="single"/>
            <w:rtl/>
          </w:rPr>
          <w:t>חוק הסכמים קיבוציים</w:t>
        </w:r>
      </w:hyperlink>
      <w:r>
        <w:rPr>
          <w:rFonts w:ascii="Arial" w:hAnsi="Arial" w:hint="cs"/>
          <w:szCs w:val="24"/>
          <w:rtl/>
        </w:rPr>
        <w:t xml:space="preserve"> קובע כי כאשר ישנן הוראות סותרות בין ההסכם האישי להסכם הקיבוצי, ההוראות בהסכם הקיבוצי גוברות אלא אם הוראות ההסכם האישי מיטיב עם העובד. במקרה דנן, ההסכם האישי כלל לא בוצע על ידי הצדדים, כך שהשאלה האם ההסכם האישי מיטיב איננה רלוונטית לטעמנו. </w:t>
      </w:r>
    </w:p>
    <w:p w:rsidR="006055C2" w:rsidRDefault="006055C2">
      <w:pPr>
        <w:spacing w:line="360" w:lineRule="auto"/>
        <w:jc w:val="both"/>
        <w:rPr>
          <w:rFonts w:ascii="Arial" w:hAnsi="Arial"/>
          <w:szCs w:val="24"/>
        </w:rPr>
      </w:pPr>
    </w:p>
    <w:p w:rsidR="006055C2" w:rsidRDefault="007622BA">
      <w:pPr>
        <w:numPr>
          <w:ilvl w:val="0"/>
          <w:numId w:val="3"/>
        </w:numPr>
        <w:spacing w:line="360" w:lineRule="auto"/>
        <w:jc w:val="both"/>
        <w:rPr>
          <w:rStyle w:val="normal-h"/>
          <w:szCs w:val="24"/>
        </w:rPr>
      </w:pPr>
      <w:r>
        <w:rPr>
          <w:rStyle w:val="normal-h"/>
          <w:rFonts w:hint="cs"/>
          <w:szCs w:val="24"/>
          <w:rtl/>
        </w:rPr>
        <w:t xml:space="preserve">ההסכם הקיבוצי הרלוונטי לתקופה קובע כי ההסכם חל על: </w:t>
      </w:r>
    </w:p>
    <w:p w:rsidR="006055C2" w:rsidRDefault="006055C2">
      <w:pPr>
        <w:spacing w:line="360" w:lineRule="auto"/>
        <w:ind w:left="2880" w:hanging="2160"/>
        <w:jc w:val="both"/>
        <w:rPr>
          <w:rStyle w:val="normal-h"/>
          <w:b/>
          <w:bCs/>
          <w:szCs w:val="24"/>
          <w:rtl/>
        </w:rPr>
      </w:pPr>
    </w:p>
    <w:p w:rsidR="006055C2" w:rsidRDefault="007622BA">
      <w:pPr>
        <w:spacing w:line="360" w:lineRule="auto"/>
        <w:ind w:left="2880" w:hanging="2160"/>
        <w:jc w:val="both"/>
        <w:rPr>
          <w:rStyle w:val="normal-h"/>
          <w:b/>
          <w:bCs/>
          <w:szCs w:val="24"/>
          <w:rtl/>
        </w:rPr>
      </w:pPr>
      <w:r>
        <w:rPr>
          <w:rStyle w:val="normal-h"/>
          <w:rFonts w:hint="cs"/>
          <w:b/>
          <w:bCs/>
          <w:szCs w:val="24"/>
          <w:rtl/>
        </w:rPr>
        <w:t xml:space="preserve">" "בית מלון/מלון" </w:t>
      </w:r>
      <w:r>
        <w:rPr>
          <w:rStyle w:val="normal-h"/>
          <w:rFonts w:hint="cs"/>
          <w:b/>
          <w:bCs/>
          <w:szCs w:val="24"/>
          <w:rtl/>
        </w:rPr>
        <w:tab/>
        <w:t>בית מלון, פנסיון, בית הארחה וכפר נופש על כל מחלקותיו לרבות מסעדות ובארים של המלון. משרדים מרכזיים של רשתות בתי מלון או חברות מלונאות אשר ביום 21.12.80 חל עליהם הסכם קיבוצי כללי בענף המלונאות"</w:t>
      </w:r>
    </w:p>
    <w:p w:rsidR="006055C2" w:rsidRDefault="006055C2">
      <w:pPr>
        <w:spacing w:line="360" w:lineRule="auto"/>
        <w:ind w:left="2880" w:hanging="2160"/>
        <w:jc w:val="both"/>
        <w:rPr>
          <w:rStyle w:val="normal-h"/>
          <w:b/>
          <w:bCs/>
          <w:szCs w:val="24"/>
          <w:rtl/>
        </w:rPr>
      </w:pPr>
    </w:p>
    <w:p w:rsidR="006055C2" w:rsidRDefault="007622BA">
      <w:pPr>
        <w:spacing w:line="360" w:lineRule="auto"/>
        <w:ind w:left="2880" w:hanging="2160"/>
        <w:jc w:val="both"/>
        <w:rPr>
          <w:rStyle w:val="normal-h"/>
          <w:b/>
          <w:bCs/>
          <w:szCs w:val="24"/>
          <w:rtl/>
        </w:rPr>
      </w:pPr>
      <w:r>
        <w:rPr>
          <w:rStyle w:val="normal-h"/>
          <w:rFonts w:hint="cs"/>
          <w:b/>
          <w:bCs/>
          <w:szCs w:val="24"/>
          <w:rtl/>
        </w:rPr>
        <w:lastRenderedPageBreak/>
        <w:t xml:space="preserve">" "עובד" </w:t>
      </w:r>
      <w:r>
        <w:rPr>
          <w:rStyle w:val="normal-h"/>
          <w:rFonts w:hint="cs"/>
          <w:b/>
          <w:bCs/>
          <w:szCs w:val="24"/>
          <w:rtl/>
        </w:rPr>
        <w:tab/>
        <w:t xml:space="preserve">כל העובדים המקצועיי והבלתי מקצועיים המועסקים ע"י בתי מלון וכן עובדי משרדים מרכזיים של רשתות בתי מלון או חברות מלונאות אשר חל עליהם ההסכם הזה." </w:t>
      </w:r>
    </w:p>
    <w:p w:rsidR="006055C2" w:rsidRDefault="006055C2">
      <w:pPr>
        <w:spacing w:line="360" w:lineRule="auto"/>
        <w:jc w:val="both"/>
        <w:rPr>
          <w:rStyle w:val="normal-h"/>
          <w:b/>
          <w:bCs/>
          <w:szCs w:val="24"/>
        </w:rPr>
      </w:pPr>
    </w:p>
    <w:p w:rsidR="006055C2" w:rsidRDefault="007622BA">
      <w:pPr>
        <w:spacing w:line="360" w:lineRule="auto"/>
        <w:ind w:left="720"/>
        <w:jc w:val="both"/>
        <w:rPr>
          <w:rStyle w:val="normal-h"/>
          <w:szCs w:val="24"/>
        </w:rPr>
      </w:pPr>
      <w:r>
        <w:rPr>
          <w:rStyle w:val="normal-h"/>
          <w:rFonts w:hint="cs"/>
          <w:szCs w:val="24"/>
          <w:rtl/>
        </w:rPr>
        <w:t xml:space="preserve">הנתבעת הינה בית מלון ובית-ספר למלונאות ועונה להגדרה של "בית מלון" והתובע עונה על ההגדרה של "עובד". </w:t>
      </w:r>
    </w:p>
    <w:p w:rsidR="006055C2" w:rsidRDefault="006055C2">
      <w:pPr>
        <w:spacing w:line="360" w:lineRule="auto"/>
        <w:jc w:val="both"/>
        <w:rPr>
          <w:rStyle w:val="normal-h"/>
          <w:b/>
          <w:bCs/>
          <w:sz w:val="28"/>
          <w:u w:val="single"/>
        </w:rPr>
      </w:pPr>
    </w:p>
    <w:p w:rsidR="006055C2" w:rsidRDefault="007622BA">
      <w:pPr>
        <w:numPr>
          <w:ilvl w:val="0"/>
          <w:numId w:val="3"/>
        </w:numPr>
        <w:spacing w:line="360" w:lineRule="auto"/>
        <w:jc w:val="both"/>
        <w:rPr>
          <w:rStyle w:val="normal-h"/>
          <w:sz w:val="20"/>
          <w:szCs w:val="20"/>
        </w:rPr>
      </w:pPr>
      <w:r>
        <w:rPr>
          <w:rStyle w:val="normal-h"/>
          <w:rFonts w:hint="cs"/>
          <w:szCs w:val="24"/>
          <w:rtl/>
        </w:rPr>
        <w:t xml:space="preserve">נוכח מסקנתנו דלעיל כי ההסכם העבודה האיש לא חל על סעיפיו הנוגעים להפרשות ולפיצויי פיטורים אלא יש לבחון את זכאותו של התובע במסגרת ההסכם הקיבוצי, אשר קובע (סע' 43):  </w:t>
      </w:r>
    </w:p>
    <w:p w:rsidR="006055C2" w:rsidRDefault="007622BA">
      <w:pPr>
        <w:spacing w:line="360" w:lineRule="auto"/>
        <w:ind w:left="2160" w:hanging="720"/>
        <w:jc w:val="both"/>
        <w:rPr>
          <w:rStyle w:val="normal-h"/>
          <w:b/>
          <w:bCs/>
          <w:szCs w:val="24"/>
          <w:rtl/>
        </w:rPr>
      </w:pPr>
      <w:r>
        <w:rPr>
          <w:rStyle w:val="normal-h"/>
          <w:rFonts w:hint="cs"/>
          <w:b/>
          <w:bCs/>
          <w:szCs w:val="24"/>
          <w:rtl/>
        </w:rPr>
        <w:t xml:space="preserve">... (12) </w:t>
      </w:r>
      <w:r>
        <w:rPr>
          <w:rStyle w:val="normal-h"/>
          <w:rFonts w:hint="cs"/>
          <w:b/>
          <w:bCs/>
          <w:szCs w:val="24"/>
          <w:rtl/>
        </w:rPr>
        <w:tab/>
        <w:t xml:space="preserve">מבלי לפגוע בנזכר בסעיף משנה (11) לעיל, יהיה זכאי העובד לקבל ממעסיקו האחרון, בעת פרישתו לקצבה, פיצויי פיטורים באלטרנטיבות כדלקמן: </w:t>
      </w:r>
    </w:p>
    <w:p w:rsidR="006055C2" w:rsidRDefault="007622BA">
      <w:pPr>
        <w:spacing w:line="360" w:lineRule="auto"/>
        <w:ind w:left="2880" w:hanging="720"/>
        <w:jc w:val="both"/>
        <w:rPr>
          <w:rStyle w:val="normal-h"/>
          <w:b/>
          <w:bCs/>
          <w:szCs w:val="24"/>
          <w:rtl/>
        </w:rPr>
      </w:pPr>
      <w:r>
        <w:rPr>
          <w:rStyle w:val="normal-h"/>
          <w:rFonts w:hint="cs"/>
          <w:b/>
          <w:bCs/>
          <w:szCs w:val="24"/>
          <w:rtl/>
        </w:rPr>
        <w:t xml:space="preserve">(א) </w:t>
      </w:r>
      <w:r>
        <w:rPr>
          <w:rStyle w:val="normal-h"/>
          <w:rFonts w:hint="cs"/>
          <w:b/>
          <w:bCs/>
          <w:szCs w:val="24"/>
          <w:rtl/>
        </w:rPr>
        <w:tab/>
        <w:t xml:space="preserve">28% ממשכורתו החודשית האחרונה ערב סיום עבודתו, בעבור כל שנת עבודה שעבד באותו מלון או אצל אותו מעסיק במשך התקופה שבה שולמו בעבורו התשלומים לקרן פנסיה מקיפה. </w:t>
      </w:r>
    </w:p>
    <w:p w:rsidR="006055C2" w:rsidRDefault="007622BA">
      <w:pPr>
        <w:spacing w:line="360" w:lineRule="auto"/>
        <w:ind w:left="2160" w:firstLine="720"/>
        <w:jc w:val="both"/>
        <w:rPr>
          <w:rStyle w:val="normal-h"/>
          <w:sz w:val="20"/>
          <w:szCs w:val="20"/>
        </w:rPr>
      </w:pPr>
      <w:r>
        <w:rPr>
          <w:rStyle w:val="normal-h"/>
          <w:rFonts w:hint="cs"/>
          <w:sz w:val="20"/>
          <w:szCs w:val="20"/>
          <w:rtl/>
        </w:rPr>
        <w:t>...</w:t>
      </w:r>
    </w:p>
    <w:p w:rsidR="006055C2" w:rsidRDefault="006055C2">
      <w:pPr>
        <w:spacing w:line="360" w:lineRule="auto"/>
        <w:ind w:left="720"/>
        <w:jc w:val="both"/>
        <w:rPr>
          <w:rStyle w:val="normal-h"/>
          <w:szCs w:val="24"/>
          <w:rtl/>
        </w:rPr>
      </w:pPr>
    </w:p>
    <w:p w:rsidR="006055C2" w:rsidRDefault="007622BA">
      <w:pPr>
        <w:spacing w:line="360" w:lineRule="auto"/>
        <w:ind w:left="720"/>
        <w:jc w:val="both"/>
        <w:rPr>
          <w:rStyle w:val="normal-h"/>
          <w:szCs w:val="24"/>
        </w:rPr>
      </w:pPr>
      <w:r>
        <w:rPr>
          <w:rStyle w:val="normal-h"/>
          <w:rFonts w:hint="cs"/>
          <w:szCs w:val="24"/>
          <w:rtl/>
        </w:rPr>
        <w:t xml:space="preserve">על כן, על פי ההסכם הקיבוצי עולה כי על המעביד לבטח את עובדיו בקרן פנסיה מקיפה כאשר המלון מפריש 12% ממשכורותיהם של העובדים והעובד 5.5%. כן על המעביד להפריש לקרן השתלמות (2.5% עובד, 7.5% מעביד). על פי ההסכם הענפי העובד אשר הופרש בגינו לכל תקופת עבודתו פנסיה מקיפה יהיה זכאי בנוסף ל- 28% ממשכורתו החודשית האחרונה בעבור כל שנת עבודה (סעיף 43 לסעיף קטן 12 (א)) להסכם. </w:t>
      </w:r>
    </w:p>
    <w:p w:rsidR="006055C2" w:rsidRDefault="006055C2">
      <w:pPr>
        <w:spacing w:line="360" w:lineRule="auto"/>
        <w:jc w:val="both"/>
        <w:rPr>
          <w:rStyle w:val="normal-h"/>
          <w:szCs w:val="24"/>
        </w:rPr>
      </w:pPr>
    </w:p>
    <w:p w:rsidR="006055C2" w:rsidRDefault="007622BA">
      <w:pPr>
        <w:numPr>
          <w:ilvl w:val="0"/>
          <w:numId w:val="3"/>
        </w:numPr>
        <w:spacing w:line="360" w:lineRule="auto"/>
        <w:jc w:val="both"/>
        <w:rPr>
          <w:rStyle w:val="normal-h"/>
          <w:szCs w:val="24"/>
        </w:rPr>
      </w:pPr>
      <w:r>
        <w:rPr>
          <w:rStyle w:val="normal-h"/>
          <w:rFonts w:hint="cs"/>
          <w:szCs w:val="24"/>
          <w:rtl/>
        </w:rPr>
        <w:t>סעיף 14 ל</w:t>
      </w:r>
      <w:hyperlink r:id="rId12" w:history="1">
        <w:r w:rsidRPr="007622BA">
          <w:rPr>
            <w:rStyle w:val="normal-h"/>
            <w:color w:val="0000FF"/>
            <w:szCs w:val="24"/>
            <w:u w:val="single"/>
            <w:rtl/>
          </w:rPr>
          <w:t>חוק פיצויי פיטורים</w:t>
        </w:r>
      </w:hyperlink>
      <w:r>
        <w:rPr>
          <w:rStyle w:val="normal-h"/>
          <w:rFonts w:hint="cs"/>
          <w:szCs w:val="24"/>
          <w:rtl/>
        </w:rPr>
        <w:t xml:space="preserve"> קובע כי תשלום לקופת תגמולים, לקרן פנסיה או לקרן אחרת לא יבוא במקום פיצויי פיטורים אלא אם נקבע כך </w:t>
      </w:r>
      <w:r>
        <w:rPr>
          <w:rStyle w:val="normal-h"/>
          <w:rFonts w:hint="cs"/>
          <w:b/>
          <w:bCs/>
          <w:szCs w:val="24"/>
          <w:rtl/>
        </w:rPr>
        <w:t>בהסכם הקיבוצי החל על המעביד והעובד</w:t>
      </w:r>
      <w:r>
        <w:rPr>
          <w:rStyle w:val="normal-h"/>
          <w:rFonts w:hint="cs"/>
          <w:szCs w:val="24"/>
          <w:rtl/>
        </w:rPr>
        <w:t xml:space="preserve"> או אם תשלום כאמור </w:t>
      </w:r>
      <w:r>
        <w:rPr>
          <w:rStyle w:val="normal-h"/>
          <w:rFonts w:hint="cs"/>
          <w:b/>
          <w:bCs/>
          <w:szCs w:val="24"/>
          <w:rtl/>
        </w:rPr>
        <w:t>אושר בצו על ידי שר</w:t>
      </w:r>
      <w:r>
        <w:rPr>
          <w:rStyle w:val="normal-h"/>
          <w:rFonts w:hint="cs"/>
          <w:szCs w:val="24"/>
          <w:rtl/>
        </w:rPr>
        <w:t xml:space="preserve"> העבודה והרווחה. במקרה דנן, מתקיימים שני התנאים. </w:t>
      </w:r>
    </w:p>
    <w:p w:rsidR="006055C2" w:rsidRDefault="006055C2">
      <w:pPr>
        <w:spacing w:line="360" w:lineRule="auto"/>
        <w:jc w:val="both"/>
        <w:rPr>
          <w:rStyle w:val="normal-h"/>
          <w:szCs w:val="24"/>
        </w:rPr>
      </w:pPr>
    </w:p>
    <w:p w:rsidR="006055C2" w:rsidRDefault="007622BA">
      <w:pPr>
        <w:numPr>
          <w:ilvl w:val="0"/>
          <w:numId w:val="3"/>
        </w:numPr>
        <w:spacing w:line="360" w:lineRule="auto"/>
        <w:jc w:val="both"/>
        <w:rPr>
          <w:rStyle w:val="normal-h"/>
          <w:szCs w:val="24"/>
        </w:rPr>
      </w:pPr>
      <w:r>
        <w:rPr>
          <w:rStyle w:val="normal-h"/>
          <w:rFonts w:hint="cs"/>
          <w:szCs w:val="24"/>
          <w:rtl/>
        </w:rPr>
        <w:t xml:space="preserve">ראשית, בהסכם הקיבוצי בענף המלונאות נקבע, כאמור לעיל, כי ההפקדות לקרן פנסיה או לקופת גמל הינן במקום פיצויי פיטורים והעובד יהיה זכאי לקבל בנוסף 28% ממשכורתו החודשית האחרונה בעבור כל שנת עבודה. </w:t>
      </w:r>
    </w:p>
    <w:p w:rsidR="006055C2" w:rsidRDefault="006055C2">
      <w:pPr>
        <w:spacing w:line="360" w:lineRule="auto"/>
        <w:jc w:val="both"/>
        <w:rPr>
          <w:rStyle w:val="normal-h"/>
          <w:szCs w:val="24"/>
        </w:rPr>
      </w:pPr>
    </w:p>
    <w:p w:rsidR="006055C2" w:rsidRDefault="007622BA">
      <w:pPr>
        <w:numPr>
          <w:ilvl w:val="0"/>
          <w:numId w:val="3"/>
        </w:numPr>
        <w:spacing w:line="360" w:lineRule="auto"/>
        <w:jc w:val="both"/>
        <w:rPr>
          <w:rStyle w:val="normal-h"/>
          <w:szCs w:val="24"/>
        </w:rPr>
      </w:pPr>
      <w:r>
        <w:rPr>
          <w:rStyle w:val="normal-h"/>
          <w:rFonts w:hint="cs"/>
          <w:szCs w:val="24"/>
          <w:rtl/>
        </w:rPr>
        <w:t>שנית, ביום 3.6.98 פורסם צו שכותרתו "</w:t>
      </w:r>
      <w:r>
        <w:rPr>
          <w:rStyle w:val="normal-h"/>
          <w:rFonts w:hint="cs"/>
          <w:b/>
          <w:bCs/>
          <w:szCs w:val="24"/>
          <w:rtl/>
        </w:rPr>
        <w:t>אישור כללי בדבר תשלומי מעבידים לקרן פנסיה ולקופת ביטוח במקום פיצויי פיטורים</w:t>
      </w:r>
      <w:r>
        <w:rPr>
          <w:rStyle w:val="normal-h"/>
          <w:rFonts w:hint="cs"/>
          <w:szCs w:val="24"/>
          <w:rtl/>
        </w:rPr>
        <w:t xml:space="preserve">". הצו קובע כי תשלומים ששילם מעביד בעבור פנסיה מקיפה בקופת גמל לקצבה או לביטוח מנהלים הכולל אפשרות לקצבה, לרבות </w:t>
      </w:r>
      <w:r>
        <w:rPr>
          <w:rStyle w:val="normal-h"/>
          <w:rFonts w:hint="cs"/>
          <w:szCs w:val="24"/>
          <w:rtl/>
        </w:rPr>
        <w:lastRenderedPageBreak/>
        <w:t xml:space="preserve">תשלומים ששילם מעביד לקרן פנסיה ולקופת ביטוח, בין אם יש בקופת הביטוח תכנית לקצבה ובין אם לאו, יבואו במקום פיצויי פיטורים. </w:t>
      </w:r>
    </w:p>
    <w:p w:rsidR="006055C2" w:rsidRDefault="007622BA">
      <w:pPr>
        <w:spacing w:line="360" w:lineRule="auto"/>
        <w:ind w:left="720"/>
        <w:jc w:val="both"/>
        <w:rPr>
          <w:rStyle w:val="normal-h"/>
          <w:szCs w:val="24"/>
          <w:rtl/>
        </w:rPr>
      </w:pPr>
      <w:r>
        <w:rPr>
          <w:rStyle w:val="normal-h"/>
          <w:rFonts w:hint="cs"/>
          <w:szCs w:val="24"/>
          <w:rtl/>
        </w:rPr>
        <w:t xml:space="preserve">הצו קובע שני תנאים לקיומו: ראשית, שהמעביד הפריש לקרן פנסיה לפחות 1/3% 14 מן השכר או 1/3% 13 מן השכר לקופת ביטוח. שנית, שנערך הסכם בכתב בין העובד למעביד לפי אישור כללי זה. לטעמנו, ההסכם הקיבוצי אשר קובע כי ההפרשות לפיצויי פיטורים לקרן פנסיה או לביטוח מנהלים באות במקום פיצויי פיטורים, מהווה הסכמה מכללא של העובד לאישור זה, משהוראות ההסכם הקיבוצי נקלטו בהסכם העבודה של התובע. </w:t>
      </w:r>
    </w:p>
    <w:p w:rsidR="006055C2" w:rsidRDefault="006055C2">
      <w:pPr>
        <w:spacing w:line="360" w:lineRule="auto"/>
        <w:jc w:val="both"/>
        <w:rPr>
          <w:rFonts w:ascii="Arial" w:hAnsi="Arial"/>
          <w:szCs w:val="24"/>
        </w:rPr>
      </w:pPr>
    </w:p>
    <w:p w:rsidR="006055C2" w:rsidRDefault="007622BA">
      <w:pPr>
        <w:numPr>
          <w:ilvl w:val="0"/>
          <w:numId w:val="3"/>
        </w:numPr>
        <w:spacing w:line="360" w:lineRule="auto"/>
        <w:jc w:val="both"/>
        <w:rPr>
          <w:rFonts w:ascii="Arial" w:hAnsi="Arial"/>
          <w:szCs w:val="24"/>
        </w:rPr>
      </w:pPr>
      <w:r>
        <w:rPr>
          <w:rFonts w:ascii="Arial" w:hAnsi="Arial" w:hint="cs"/>
          <w:szCs w:val="24"/>
          <w:rtl/>
        </w:rPr>
        <w:t xml:space="preserve">ועוד, סבורים אנו כי יש לנהוג דין שווה לתובע ולעובדים אחרים בנתבעת בעניין תשלום פיצויי הפיטורים. אין מחלוקת כי עובדים אשר פוטרו מהנתבעת והתובע </w:t>
      </w:r>
      <w:r>
        <w:rPr>
          <w:rFonts w:ascii="Arial" w:hAnsi="Arial" w:hint="eastAsia"/>
          <w:szCs w:val="24"/>
          <w:rtl/>
        </w:rPr>
        <w:t xml:space="preserve">– </w:t>
      </w:r>
      <w:r>
        <w:rPr>
          <w:rFonts w:ascii="Arial" w:hAnsi="Arial" w:hint="cs"/>
          <w:szCs w:val="24"/>
          <w:rtl/>
        </w:rPr>
        <w:t xml:space="preserve">בכובעו כחשב </w:t>
      </w:r>
      <w:r>
        <w:rPr>
          <w:rFonts w:ascii="Arial" w:hAnsi="Arial" w:hint="eastAsia"/>
          <w:szCs w:val="24"/>
          <w:rtl/>
        </w:rPr>
        <w:t xml:space="preserve">– </w:t>
      </w:r>
      <w:r>
        <w:rPr>
          <w:rFonts w:ascii="Arial" w:hAnsi="Arial" w:hint="cs"/>
          <w:szCs w:val="24"/>
          <w:rtl/>
        </w:rPr>
        <w:t xml:space="preserve">השלים להם 28% בגין פיצויי פיטורים מעבר לסכומים שהופקדו בקופות בגין פיצויי פיטורים (נספח ד' 5-1 לתצהיר נוריאל) . </w:t>
      </w:r>
    </w:p>
    <w:p w:rsidR="006055C2" w:rsidRDefault="006055C2">
      <w:pPr>
        <w:spacing w:line="360" w:lineRule="auto"/>
        <w:jc w:val="both"/>
        <w:rPr>
          <w:rFonts w:ascii="Arial" w:hAnsi="Arial"/>
          <w:szCs w:val="24"/>
          <w:rtl/>
        </w:rPr>
      </w:pPr>
    </w:p>
    <w:p w:rsidR="006055C2" w:rsidRDefault="007622BA">
      <w:pPr>
        <w:numPr>
          <w:ilvl w:val="0"/>
          <w:numId w:val="3"/>
        </w:numPr>
        <w:spacing w:line="360" w:lineRule="auto"/>
        <w:jc w:val="both"/>
        <w:rPr>
          <w:rFonts w:ascii="Arial" w:hAnsi="Arial"/>
          <w:szCs w:val="24"/>
        </w:rPr>
      </w:pPr>
      <w:r>
        <w:rPr>
          <w:rFonts w:ascii="Arial" w:hAnsi="Arial" w:hint="cs"/>
          <w:szCs w:val="24"/>
          <w:rtl/>
        </w:rPr>
        <w:t xml:space="preserve">קל וחומר כאשר עסקינן בתובע ששימש כחשב הנתבעת והוא זה שהחליט </w:t>
      </w:r>
      <w:r>
        <w:rPr>
          <w:rFonts w:ascii="Arial" w:hAnsi="Arial" w:hint="cs"/>
          <w:b/>
          <w:bCs/>
          <w:szCs w:val="24"/>
          <w:rtl/>
        </w:rPr>
        <w:t>בכל</w:t>
      </w:r>
      <w:r>
        <w:rPr>
          <w:rFonts w:ascii="Arial" w:hAnsi="Arial" w:hint="cs"/>
          <w:szCs w:val="24"/>
          <w:rtl/>
        </w:rPr>
        <w:t xml:space="preserve"> העניינים הכספיים (עמ' 8 לפרוטוקול שורה 8, עמ' 9 שורות 20-16 וכן עמ' 10 שורות 9-7)</w:t>
      </w:r>
      <w:r>
        <w:rPr>
          <w:rFonts w:ascii="Arial" w:hAnsi="Arial" w:hint="cs"/>
          <w:sz w:val="28"/>
          <w:rtl/>
        </w:rPr>
        <w:t xml:space="preserve"> </w:t>
      </w:r>
      <w:r>
        <w:rPr>
          <w:rFonts w:ascii="Arial" w:hAnsi="Arial" w:hint="cs"/>
          <w:szCs w:val="24"/>
          <w:rtl/>
        </w:rPr>
        <w:t>והוא זה שהפריש בעבור עצמו כספים ביתר (עמ' 4 לפרוטוקול שורה 13).</w:t>
      </w:r>
    </w:p>
    <w:p w:rsidR="006055C2" w:rsidRDefault="006055C2">
      <w:pPr>
        <w:spacing w:line="360" w:lineRule="auto"/>
        <w:ind w:firstLine="720"/>
        <w:jc w:val="both"/>
        <w:rPr>
          <w:rFonts w:ascii="Arial" w:hAnsi="Arial"/>
          <w:sz w:val="28"/>
          <w:highlight w:val="green"/>
          <w:rtl/>
        </w:rPr>
      </w:pPr>
    </w:p>
    <w:p w:rsidR="006055C2" w:rsidRDefault="007622BA">
      <w:pPr>
        <w:numPr>
          <w:ilvl w:val="0"/>
          <w:numId w:val="3"/>
        </w:numPr>
        <w:spacing w:line="360" w:lineRule="auto"/>
        <w:jc w:val="both"/>
        <w:rPr>
          <w:rFonts w:ascii="Arial" w:hAnsi="Arial"/>
          <w:szCs w:val="24"/>
        </w:rPr>
      </w:pPr>
      <w:r>
        <w:rPr>
          <w:rFonts w:ascii="Arial" w:hAnsi="Arial" w:hint="cs"/>
          <w:szCs w:val="24"/>
          <w:rtl/>
        </w:rPr>
        <w:t xml:space="preserve">התובע החליט על </w:t>
      </w:r>
      <w:r>
        <w:rPr>
          <w:rFonts w:ascii="Arial" w:hAnsi="Arial" w:hint="cs"/>
          <w:b/>
          <w:bCs/>
          <w:szCs w:val="24"/>
          <w:rtl/>
        </w:rPr>
        <w:t>דעת עצמו</w:t>
      </w:r>
      <w:r>
        <w:rPr>
          <w:rFonts w:ascii="Arial" w:hAnsi="Arial" w:hint="cs"/>
          <w:szCs w:val="24"/>
          <w:rtl/>
        </w:rPr>
        <w:t xml:space="preserve"> להגדיל את גודל ההפרשות לגמל ומבלי שיידע איש בעניין זה ומבלי שעידכן את רשות החברות הממשלתיות וללא קבלת אישור הממונה במשרד האוצר (עמ' 5 לפרוטוקול שורה 16). </w:t>
      </w:r>
    </w:p>
    <w:p w:rsidR="006055C2" w:rsidRDefault="006055C2">
      <w:pPr>
        <w:spacing w:line="360" w:lineRule="auto"/>
        <w:jc w:val="both"/>
        <w:rPr>
          <w:rFonts w:ascii="Arial" w:hAnsi="Arial"/>
          <w:szCs w:val="24"/>
        </w:rPr>
      </w:pPr>
    </w:p>
    <w:p w:rsidR="006055C2" w:rsidRDefault="007622BA">
      <w:pPr>
        <w:numPr>
          <w:ilvl w:val="0"/>
          <w:numId w:val="3"/>
        </w:numPr>
        <w:spacing w:line="360" w:lineRule="auto"/>
        <w:jc w:val="both"/>
        <w:rPr>
          <w:rFonts w:ascii="Arial" w:hAnsi="Arial"/>
          <w:szCs w:val="24"/>
        </w:rPr>
      </w:pPr>
      <w:r>
        <w:rPr>
          <w:rFonts w:ascii="Arial" w:hAnsi="Arial" w:hint="cs"/>
          <w:szCs w:val="24"/>
          <w:rtl/>
        </w:rPr>
        <w:t xml:space="preserve"> סיכום ביניים: ההסכם הקיבוצי בענף המלונאות חל על הצדדים וזכויותיו של התובע יגזרו על פיו. </w:t>
      </w:r>
    </w:p>
    <w:p w:rsidR="006055C2" w:rsidRDefault="006055C2">
      <w:pPr>
        <w:spacing w:line="360" w:lineRule="auto"/>
        <w:jc w:val="both"/>
        <w:rPr>
          <w:rFonts w:ascii="Arial" w:hAnsi="Arial"/>
          <w:b/>
          <w:bCs/>
          <w:sz w:val="28"/>
          <w:u w:val="single"/>
          <w:rtl/>
        </w:rPr>
      </w:pPr>
    </w:p>
    <w:p w:rsidR="006055C2" w:rsidRDefault="007622BA">
      <w:pPr>
        <w:spacing w:line="360" w:lineRule="auto"/>
        <w:jc w:val="both"/>
        <w:rPr>
          <w:rFonts w:ascii="Arial" w:hAnsi="Arial"/>
          <w:b/>
          <w:bCs/>
          <w:sz w:val="28"/>
          <w:u w:val="single"/>
        </w:rPr>
      </w:pPr>
      <w:r>
        <w:rPr>
          <w:rFonts w:ascii="Arial" w:hAnsi="Arial" w:hint="cs"/>
          <w:b/>
          <w:bCs/>
          <w:sz w:val="28"/>
          <w:u w:val="single"/>
          <w:rtl/>
        </w:rPr>
        <w:t>האם רשאית הנתבעת לשלול מהתובע את פיצויי הפיטורים</w:t>
      </w:r>
      <w:r>
        <w:rPr>
          <w:b/>
          <w:bCs/>
          <w:u w:val="single"/>
        </w:rPr>
        <w:t>?</w:t>
      </w:r>
      <w:r>
        <w:rPr>
          <w:rFonts w:ascii="Arial" w:hAnsi="Arial"/>
          <w:b/>
          <w:bCs/>
          <w:sz w:val="28"/>
          <w:u w:val="single"/>
        </w:rPr>
        <w:t xml:space="preserve"> </w:t>
      </w:r>
    </w:p>
    <w:p w:rsidR="006055C2" w:rsidRDefault="007622BA">
      <w:pPr>
        <w:numPr>
          <w:ilvl w:val="0"/>
          <w:numId w:val="3"/>
        </w:numPr>
        <w:spacing w:line="360" w:lineRule="auto"/>
        <w:jc w:val="both"/>
        <w:rPr>
          <w:rFonts w:ascii="Arial" w:hAnsi="Arial"/>
          <w:szCs w:val="24"/>
        </w:rPr>
      </w:pPr>
      <w:r>
        <w:rPr>
          <w:rFonts w:ascii="Arial" w:hAnsi="Arial" w:hint="cs"/>
          <w:szCs w:val="24"/>
          <w:rtl/>
        </w:rPr>
        <w:t xml:space="preserve">במכתב רואה החשבון מיום 20.11.08 (נספח כ"ב לתצהיר נוריאל) נכתב כי לתובע אחריות ישירה לטעויות שנעשו עם המיזם המשותף. </w:t>
      </w:r>
    </w:p>
    <w:p w:rsidR="006055C2" w:rsidRDefault="006055C2">
      <w:pPr>
        <w:spacing w:line="360" w:lineRule="auto"/>
        <w:jc w:val="both"/>
        <w:rPr>
          <w:rFonts w:ascii="Arial" w:hAnsi="Arial"/>
          <w:szCs w:val="24"/>
          <w:rtl/>
        </w:rPr>
      </w:pPr>
    </w:p>
    <w:p w:rsidR="006055C2" w:rsidRDefault="007622BA">
      <w:pPr>
        <w:spacing w:line="360" w:lineRule="auto"/>
        <w:ind w:firstLine="720"/>
        <w:jc w:val="both"/>
        <w:rPr>
          <w:rFonts w:ascii="Arial" w:hAnsi="Arial"/>
          <w:b/>
          <w:bCs/>
          <w:szCs w:val="24"/>
          <w:rtl/>
        </w:rPr>
      </w:pPr>
      <w:r>
        <w:rPr>
          <w:rFonts w:ascii="Arial" w:hAnsi="Arial" w:hint="cs"/>
          <w:b/>
          <w:bCs/>
          <w:szCs w:val="24"/>
          <w:rtl/>
        </w:rPr>
        <w:t xml:space="preserve">"1. </w:t>
      </w:r>
      <w:r>
        <w:rPr>
          <w:rFonts w:ascii="Arial" w:hAnsi="Arial" w:hint="cs"/>
          <w:b/>
          <w:bCs/>
          <w:szCs w:val="24"/>
          <w:rtl/>
        </w:rPr>
        <w:tab/>
      </w:r>
      <w:r>
        <w:rPr>
          <w:rFonts w:ascii="Arial" w:hAnsi="Arial" w:hint="cs"/>
          <w:b/>
          <w:bCs/>
          <w:szCs w:val="24"/>
          <w:u w:val="single"/>
          <w:rtl/>
        </w:rPr>
        <w:t>אחריות לתשלום יתר של חלוקת רווחים לשותף</w:t>
      </w:r>
    </w:p>
    <w:p w:rsidR="006055C2" w:rsidRDefault="007622BA">
      <w:pPr>
        <w:spacing w:line="360" w:lineRule="auto"/>
        <w:ind w:left="1440"/>
        <w:jc w:val="both"/>
        <w:rPr>
          <w:rFonts w:ascii="Arial" w:hAnsi="Arial"/>
          <w:b/>
          <w:bCs/>
          <w:szCs w:val="24"/>
          <w:rtl/>
        </w:rPr>
      </w:pPr>
      <w:r>
        <w:rPr>
          <w:rFonts w:ascii="Arial" w:hAnsi="Arial" w:hint="cs"/>
          <w:b/>
          <w:bCs/>
          <w:szCs w:val="24"/>
          <w:rtl/>
        </w:rPr>
        <w:t xml:space="preserve">1.1 </w:t>
      </w:r>
      <w:r>
        <w:rPr>
          <w:rFonts w:ascii="Arial" w:hAnsi="Arial" w:hint="cs"/>
          <w:b/>
          <w:bCs/>
          <w:szCs w:val="24"/>
          <w:rtl/>
        </w:rPr>
        <w:tab/>
        <w:t>חשב החברה</w:t>
      </w:r>
    </w:p>
    <w:p w:rsidR="006055C2" w:rsidRDefault="007622BA">
      <w:pPr>
        <w:spacing w:line="360" w:lineRule="auto"/>
        <w:ind w:left="2160"/>
        <w:jc w:val="both"/>
        <w:rPr>
          <w:rFonts w:ascii="Arial" w:hAnsi="Arial"/>
          <w:b/>
          <w:bCs/>
          <w:szCs w:val="24"/>
          <w:rtl/>
        </w:rPr>
      </w:pPr>
      <w:r>
        <w:rPr>
          <w:rFonts w:ascii="Arial" w:hAnsi="Arial" w:hint="cs"/>
          <w:b/>
          <w:bCs/>
          <w:szCs w:val="24"/>
          <w:rtl/>
        </w:rPr>
        <w:t xml:space="preserve">חשב החברה הינו האחראי הישיר לביצוע תשלומי היתר בגין חלוקת רווחים לשותף במיזם. הוא זה אשר החליט על גובה הסכום והחתים את מנכ"ל החברה כחתימה שנייה על ההמחאות ששולמו בפועל. </w:t>
      </w:r>
    </w:p>
    <w:p w:rsidR="006055C2" w:rsidRDefault="007622BA">
      <w:pPr>
        <w:spacing w:line="360" w:lineRule="auto"/>
        <w:ind w:left="2160"/>
        <w:jc w:val="both"/>
        <w:rPr>
          <w:rFonts w:ascii="Arial" w:hAnsi="Arial"/>
          <w:b/>
          <w:bCs/>
          <w:szCs w:val="24"/>
          <w:rtl/>
        </w:rPr>
      </w:pPr>
      <w:r>
        <w:rPr>
          <w:rFonts w:ascii="Arial" w:hAnsi="Arial" w:hint="cs"/>
          <w:b/>
          <w:bCs/>
          <w:szCs w:val="24"/>
          <w:rtl/>
        </w:rPr>
        <w:t>בידי החשב לא היו תחשיבים או ניירות עבודה המלמדים על האופן בו הגיע לסכומים ששולמו בגין חלוקת הרווחים. ..."</w:t>
      </w:r>
    </w:p>
    <w:p w:rsidR="006055C2" w:rsidRDefault="006055C2">
      <w:pPr>
        <w:spacing w:line="360" w:lineRule="auto"/>
        <w:jc w:val="both"/>
        <w:rPr>
          <w:rFonts w:ascii="Arial" w:hAnsi="Arial"/>
          <w:b/>
          <w:bCs/>
          <w:sz w:val="28"/>
          <w:u w:val="single"/>
        </w:rPr>
      </w:pPr>
    </w:p>
    <w:p w:rsidR="006055C2" w:rsidRDefault="007622BA">
      <w:pPr>
        <w:numPr>
          <w:ilvl w:val="0"/>
          <w:numId w:val="3"/>
        </w:numPr>
        <w:spacing w:line="360" w:lineRule="auto"/>
        <w:jc w:val="both"/>
        <w:rPr>
          <w:rStyle w:val="normal-h"/>
          <w:szCs w:val="24"/>
          <w:rtl/>
        </w:rPr>
      </w:pPr>
      <w:r>
        <w:rPr>
          <w:rFonts w:ascii="Arial" w:hAnsi="Arial" w:hint="cs"/>
          <w:szCs w:val="24"/>
          <w:rtl/>
        </w:rPr>
        <w:lastRenderedPageBreak/>
        <w:t xml:space="preserve">התובע הודה בטעויות שביצע במהלך ההתקשרות עם המיזם המשותף. כעולה ממכתבו של התובע לדירקטוריון החברה (ת/62 למסמכים שצורפו על ידי התובע)  </w:t>
      </w:r>
      <w:r>
        <w:rPr>
          <w:rStyle w:val="normal-h"/>
          <w:rFonts w:hint="cs"/>
          <w:szCs w:val="24"/>
          <w:rtl/>
        </w:rPr>
        <w:t xml:space="preserve">וכן כעולה מפרוטוקול הדירקטוריון מיום 27.1.09 (נת/1). </w:t>
      </w:r>
    </w:p>
    <w:p w:rsidR="006055C2" w:rsidRDefault="006055C2">
      <w:pPr>
        <w:spacing w:line="360" w:lineRule="auto"/>
        <w:ind w:left="720"/>
        <w:jc w:val="both"/>
        <w:rPr>
          <w:rFonts w:ascii="Arial" w:hAnsi="Arial"/>
          <w:szCs w:val="24"/>
          <w:rtl/>
        </w:rPr>
      </w:pPr>
    </w:p>
    <w:p w:rsidR="006055C2" w:rsidRDefault="007622BA">
      <w:pPr>
        <w:spacing w:line="360" w:lineRule="auto"/>
        <w:ind w:left="1440"/>
        <w:jc w:val="both"/>
        <w:rPr>
          <w:rFonts w:ascii="Arial" w:hAnsi="Arial"/>
          <w:b/>
          <w:bCs/>
          <w:szCs w:val="24"/>
          <w:rtl/>
        </w:rPr>
      </w:pPr>
      <w:r>
        <w:rPr>
          <w:rFonts w:ascii="Arial" w:hAnsi="Arial" w:hint="cs"/>
          <w:b/>
          <w:bCs/>
          <w:szCs w:val="24"/>
          <w:rtl/>
        </w:rPr>
        <w:t xml:space="preserve">"... א. </w:t>
      </w:r>
      <w:r>
        <w:rPr>
          <w:rFonts w:ascii="Arial" w:hAnsi="Arial" w:hint="cs"/>
          <w:b/>
          <w:bCs/>
          <w:szCs w:val="24"/>
          <w:rtl/>
        </w:rPr>
        <w:tab/>
        <w:t>הטעויות – שלי, ושלכם דירקטורים נכבדים:-</w:t>
      </w:r>
    </w:p>
    <w:p w:rsidR="006055C2" w:rsidRDefault="007622BA">
      <w:pPr>
        <w:spacing w:line="360" w:lineRule="auto"/>
        <w:ind w:left="2880" w:hanging="720"/>
        <w:jc w:val="both"/>
        <w:rPr>
          <w:rFonts w:ascii="Arial" w:hAnsi="Arial"/>
          <w:b/>
          <w:bCs/>
          <w:szCs w:val="24"/>
          <w:rtl/>
        </w:rPr>
      </w:pPr>
      <w:r>
        <w:rPr>
          <w:rFonts w:ascii="Arial" w:hAnsi="Arial" w:hint="cs"/>
          <w:b/>
          <w:bCs/>
          <w:szCs w:val="24"/>
          <w:rtl/>
        </w:rPr>
        <w:t xml:space="preserve">5. </w:t>
      </w:r>
      <w:r>
        <w:rPr>
          <w:rFonts w:ascii="Arial" w:hAnsi="Arial" w:hint="cs"/>
          <w:b/>
          <w:bCs/>
          <w:szCs w:val="24"/>
          <w:rtl/>
        </w:rPr>
        <w:tab/>
        <w:t xml:space="preserve">אני טעיתי. עשיתי שגיאות </w:t>
      </w:r>
      <w:r>
        <w:rPr>
          <w:rFonts w:ascii="Arial" w:hAnsi="Arial"/>
          <w:b/>
          <w:bCs/>
          <w:szCs w:val="24"/>
          <w:rtl/>
        </w:rPr>
        <w:t>–</w:t>
      </w:r>
      <w:r>
        <w:rPr>
          <w:rFonts w:ascii="Arial" w:hAnsi="Arial" w:hint="cs"/>
          <w:b/>
          <w:bCs/>
          <w:szCs w:val="24"/>
          <w:rtl/>
        </w:rPr>
        <w:t xml:space="preserve"> אני מכיר בהן, אני מנסה לתקן אותן ,ואני מתאמץ להפיק לקחים מהן. </w:t>
      </w:r>
    </w:p>
    <w:p w:rsidR="006055C2" w:rsidRDefault="007622BA">
      <w:pPr>
        <w:spacing w:line="360" w:lineRule="auto"/>
        <w:ind w:left="2880" w:hanging="720"/>
        <w:jc w:val="both"/>
        <w:rPr>
          <w:rFonts w:ascii="Arial" w:hAnsi="Arial"/>
          <w:szCs w:val="24"/>
          <w:rtl/>
        </w:rPr>
      </w:pPr>
      <w:r>
        <w:rPr>
          <w:rFonts w:ascii="Arial" w:hAnsi="Arial" w:hint="cs"/>
          <w:b/>
          <w:bCs/>
          <w:szCs w:val="24"/>
          <w:rtl/>
        </w:rPr>
        <w:t xml:space="preserve">6. </w:t>
      </w:r>
      <w:r>
        <w:rPr>
          <w:rFonts w:ascii="Arial" w:hAnsi="Arial" w:hint="cs"/>
          <w:b/>
          <w:bCs/>
          <w:szCs w:val="24"/>
          <w:rtl/>
        </w:rPr>
        <w:tab/>
        <w:t xml:space="preserve">לשגיאות שלי אתייחס בהמשך שהרי עליהן השימוע. אבהיר לכם, כי שגיאות וטעויות אלו הינן רחוקות ושונות לחלוטין מהאשמות המוטחות בי, אבל ככל שטעיתי, איני מהסס להודות בכך. ..." </w:t>
      </w:r>
      <w:r>
        <w:rPr>
          <w:rFonts w:ascii="Arial" w:hAnsi="Arial" w:hint="cs"/>
          <w:szCs w:val="24"/>
          <w:rtl/>
        </w:rPr>
        <w:t>(מתוך ת/62 למסמכים שהוגשו ע"י התובע).</w:t>
      </w:r>
    </w:p>
    <w:p w:rsidR="006055C2" w:rsidRDefault="006055C2">
      <w:pPr>
        <w:spacing w:line="360" w:lineRule="auto"/>
        <w:ind w:left="1440"/>
        <w:jc w:val="both"/>
        <w:rPr>
          <w:rFonts w:ascii="Arial" w:hAnsi="Arial"/>
          <w:szCs w:val="24"/>
          <w:rtl/>
        </w:rPr>
      </w:pPr>
    </w:p>
    <w:p w:rsidR="006055C2" w:rsidRDefault="007622BA">
      <w:pPr>
        <w:numPr>
          <w:ilvl w:val="0"/>
          <w:numId w:val="3"/>
        </w:numPr>
        <w:spacing w:line="360" w:lineRule="auto"/>
        <w:jc w:val="both"/>
        <w:rPr>
          <w:szCs w:val="24"/>
        </w:rPr>
      </w:pPr>
      <w:r>
        <w:rPr>
          <w:rFonts w:ascii="Arial" w:hAnsi="Arial" w:hint="cs"/>
          <w:szCs w:val="24"/>
          <w:rtl/>
        </w:rPr>
        <w:t>הוכח באמצעות עדי הנתבעת שהתבססו על דו"חות הביקורת שהוצאו כי התובע גרם לנזק כלכלי גדול לנתבעת</w:t>
      </w:r>
      <w:r>
        <w:rPr>
          <w:rFonts w:hint="cs"/>
          <w:szCs w:val="24"/>
          <w:rtl/>
        </w:rPr>
        <w:t>.</w:t>
      </w:r>
    </w:p>
    <w:p w:rsidR="006055C2" w:rsidRDefault="006055C2">
      <w:pPr>
        <w:spacing w:line="360" w:lineRule="auto"/>
        <w:jc w:val="both"/>
        <w:rPr>
          <w:szCs w:val="24"/>
          <w:rtl/>
        </w:rPr>
      </w:pPr>
    </w:p>
    <w:p w:rsidR="006055C2" w:rsidRDefault="007622BA">
      <w:pPr>
        <w:numPr>
          <w:ilvl w:val="0"/>
          <w:numId w:val="3"/>
        </w:numPr>
        <w:spacing w:line="360" w:lineRule="auto"/>
        <w:jc w:val="both"/>
        <w:rPr>
          <w:szCs w:val="24"/>
        </w:rPr>
      </w:pPr>
      <w:r>
        <w:rPr>
          <w:rFonts w:hint="cs"/>
          <w:szCs w:val="24"/>
          <w:rtl/>
        </w:rPr>
        <w:t xml:space="preserve">בנסיבות העניין יכלה הנתבעת, לוּ רצתה, לשלול או להפחית את פיצויי הפיטורים של התובע אולם בחרה שלא לעשות כן וכך גם הוחלט בישיבת הדירקטוריון כי הנתבעת תשלם לתובע 100% פיצויי הפיטורים ולא יכולה כעת הנתבעת לטעון אחרת.  </w:t>
      </w:r>
    </w:p>
    <w:p w:rsidR="006055C2" w:rsidRDefault="006055C2">
      <w:pPr>
        <w:spacing w:line="480" w:lineRule="auto"/>
        <w:jc w:val="both"/>
        <w:rPr>
          <w:rStyle w:val="normal-h"/>
          <w:szCs w:val="24"/>
        </w:rPr>
      </w:pPr>
    </w:p>
    <w:p w:rsidR="006055C2" w:rsidRDefault="007622BA">
      <w:pPr>
        <w:spacing w:line="360" w:lineRule="auto"/>
        <w:jc w:val="both"/>
        <w:rPr>
          <w:rFonts w:ascii="Arial" w:hAnsi="Arial"/>
          <w:b/>
          <w:bCs/>
          <w:sz w:val="28"/>
          <w:u w:val="single"/>
          <w:rtl/>
        </w:rPr>
      </w:pPr>
      <w:r>
        <w:rPr>
          <w:rFonts w:ascii="Arial" w:hAnsi="Arial" w:hint="cs"/>
          <w:b/>
          <w:bCs/>
          <w:sz w:val="28"/>
          <w:u w:val="single"/>
          <w:rtl/>
        </w:rPr>
        <w:t xml:space="preserve">האם זכאי התובע לפיצויי הלנת פיצויי פיטורים </w:t>
      </w:r>
      <w:r>
        <w:rPr>
          <w:b/>
          <w:bCs/>
          <w:u w:val="single"/>
        </w:rPr>
        <w:t>?</w:t>
      </w:r>
    </w:p>
    <w:p w:rsidR="006055C2" w:rsidRDefault="007622BA">
      <w:pPr>
        <w:numPr>
          <w:ilvl w:val="0"/>
          <w:numId w:val="3"/>
        </w:numPr>
        <w:spacing w:line="360" w:lineRule="auto"/>
        <w:jc w:val="both"/>
        <w:rPr>
          <w:rStyle w:val="normal-h"/>
          <w:rFonts w:ascii="Arial" w:hAnsi="Arial"/>
          <w:szCs w:val="24"/>
        </w:rPr>
      </w:pPr>
      <w:r>
        <w:rPr>
          <w:rFonts w:ascii="Arial" w:hAnsi="Arial" w:hint="cs"/>
          <w:szCs w:val="24"/>
          <w:rtl/>
        </w:rPr>
        <w:t>עד לחודש 7/09 המשיך התובע לעבוד בנתבעת וקיבל את שכרו כתמורת חופשה ובגין אותו חודש אף הופרשו בגינו כל הזכויות הסוציאליות ובחודש 8/09 נותרה יתרת חופשה בתלוש השכר. אשר על כן התאריך לתשלום פיצויי הפיטורים היה אמור להיות ביום 15.9.09 והוכח כי בין הצדדים נוהלו שיחות רבות ובחודש 10/09 נקרא התובע לקבל את פיצויי הפיטורים אולם התובע הגיע רק בחודש 11/09</w:t>
      </w:r>
      <w:r>
        <w:rPr>
          <w:rStyle w:val="normal-h"/>
          <w:rFonts w:hint="cs"/>
          <w:szCs w:val="24"/>
          <w:rtl/>
        </w:rPr>
        <w:t xml:space="preserve">. </w:t>
      </w:r>
    </w:p>
    <w:p w:rsidR="006055C2" w:rsidRDefault="006055C2">
      <w:pPr>
        <w:spacing w:line="360" w:lineRule="auto"/>
        <w:jc w:val="both"/>
        <w:rPr>
          <w:rFonts w:ascii="Arial" w:hAnsi="Arial"/>
          <w:szCs w:val="24"/>
        </w:rPr>
      </w:pPr>
    </w:p>
    <w:p w:rsidR="006055C2" w:rsidRDefault="007622BA">
      <w:pPr>
        <w:numPr>
          <w:ilvl w:val="0"/>
          <w:numId w:val="3"/>
        </w:numPr>
        <w:spacing w:line="360" w:lineRule="auto"/>
        <w:jc w:val="both"/>
        <w:rPr>
          <w:rFonts w:ascii="Arial" w:hAnsi="Arial"/>
          <w:szCs w:val="24"/>
        </w:rPr>
      </w:pPr>
      <w:r>
        <w:rPr>
          <w:rFonts w:ascii="Arial" w:hAnsi="Arial" w:hint="cs"/>
          <w:szCs w:val="24"/>
          <w:rtl/>
        </w:rPr>
        <w:t xml:space="preserve">השתכנעו כי הייתה ועודנה נטושה מחלוקת בין הצדדים באשר לגובה פיצויי הפיטורים, על כן לא מצאנו מקום לחייב את הנתבעת בפיצויי הלנת פיצויי פיטורים. </w:t>
      </w:r>
    </w:p>
    <w:p w:rsidR="006055C2" w:rsidRDefault="006055C2">
      <w:pPr>
        <w:spacing w:line="360" w:lineRule="auto"/>
        <w:jc w:val="both"/>
        <w:rPr>
          <w:rFonts w:ascii="Arial" w:hAnsi="Arial"/>
          <w:szCs w:val="24"/>
          <w:rtl/>
        </w:rPr>
      </w:pPr>
    </w:p>
    <w:p w:rsidR="006055C2" w:rsidRDefault="007622BA">
      <w:pPr>
        <w:spacing w:line="360" w:lineRule="auto"/>
        <w:jc w:val="both"/>
        <w:rPr>
          <w:rFonts w:ascii="Arial" w:hAnsi="Arial"/>
          <w:b/>
          <w:bCs/>
          <w:sz w:val="28"/>
          <w:u w:val="single"/>
        </w:rPr>
      </w:pPr>
      <w:r>
        <w:rPr>
          <w:rFonts w:ascii="Arial" w:hAnsi="Arial" w:hint="cs"/>
          <w:b/>
          <w:bCs/>
          <w:sz w:val="28"/>
          <w:u w:val="single"/>
          <w:rtl/>
        </w:rPr>
        <w:t>סוף דבר:</w:t>
      </w:r>
    </w:p>
    <w:p w:rsidR="006055C2" w:rsidRDefault="007622BA">
      <w:pPr>
        <w:numPr>
          <w:ilvl w:val="0"/>
          <w:numId w:val="3"/>
        </w:numPr>
        <w:spacing w:line="360" w:lineRule="auto"/>
        <w:jc w:val="both"/>
        <w:rPr>
          <w:rFonts w:ascii="Arial" w:hAnsi="Arial"/>
          <w:szCs w:val="24"/>
          <w:rtl/>
        </w:rPr>
      </w:pPr>
      <w:r>
        <w:rPr>
          <w:rFonts w:ascii="Arial" w:hAnsi="Arial" w:hint="cs"/>
          <w:szCs w:val="24"/>
          <w:rtl/>
        </w:rPr>
        <w:t xml:space="preserve"> התובע זכאי לתשלום פיצויי הפיטורים על פי ההסכם הקיבוצי בענף המלונאות (28% ממשכורתו החודשית ובמכפלת 24 שנות עבודתו), אשר מסתכמים ב-128,550 ₪ (נספח ה' לכתב ההגנה) וכן לשחרור הכספים המצויים בקרן בעבור פיצויי פיטורים. </w:t>
      </w:r>
    </w:p>
    <w:p w:rsidR="006055C2" w:rsidRDefault="006055C2">
      <w:pPr>
        <w:spacing w:line="360" w:lineRule="auto"/>
        <w:jc w:val="both"/>
        <w:rPr>
          <w:rFonts w:ascii="Arial" w:hAnsi="Arial"/>
          <w:szCs w:val="24"/>
          <w:rtl/>
        </w:rPr>
      </w:pPr>
    </w:p>
    <w:tbl>
      <w:tblPr>
        <w:tblStyle w:val="a5"/>
        <w:bidiVisual/>
        <w:tblW w:w="0" w:type="auto"/>
        <w:tblLook w:val="01E0"/>
      </w:tblPr>
      <w:tblGrid>
        <w:gridCol w:w="1453"/>
        <w:gridCol w:w="1453"/>
        <w:gridCol w:w="1453"/>
        <w:gridCol w:w="1454"/>
        <w:gridCol w:w="1454"/>
        <w:gridCol w:w="1454"/>
      </w:tblGrid>
      <w:tr w:rsidR="006055C2">
        <w:tc>
          <w:tcPr>
            <w:tcW w:w="1453" w:type="dxa"/>
          </w:tcPr>
          <w:p w:rsidR="006055C2" w:rsidRDefault="007622BA">
            <w:pPr>
              <w:spacing w:line="360" w:lineRule="auto"/>
              <w:jc w:val="both"/>
              <w:rPr>
                <w:rFonts w:ascii="Arial" w:hAnsi="Arial"/>
                <w:szCs w:val="24"/>
                <w:rtl/>
              </w:rPr>
            </w:pPr>
            <w:r>
              <w:rPr>
                <w:rFonts w:ascii="Arial" w:hAnsi="Arial" w:hint="cs"/>
                <w:szCs w:val="24"/>
                <w:rtl/>
              </w:rPr>
              <w:t>מ- 9.5.85</w:t>
            </w:r>
          </w:p>
        </w:tc>
        <w:tc>
          <w:tcPr>
            <w:tcW w:w="1453" w:type="dxa"/>
          </w:tcPr>
          <w:p w:rsidR="006055C2" w:rsidRDefault="007622BA">
            <w:pPr>
              <w:spacing w:line="360" w:lineRule="auto"/>
              <w:jc w:val="both"/>
              <w:rPr>
                <w:rFonts w:ascii="Arial" w:hAnsi="Arial"/>
                <w:szCs w:val="24"/>
                <w:rtl/>
              </w:rPr>
            </w:pPr>
            <w:r>
              <w:rPr>
                <w:rFonts w:ascii="Arial" w:hAnsi="Arial" w:hint="cs"/>
                <w:szCs w:val="24"/>
                <w:rtl/>
              </w:rPr>
              <w:t>עד 1.6.03</w:t>
            </w:r>
          </w:p>
        </w:tc>
        <w:tc>
          <w:tcPr>
            <w:tcW w:w="1453" w:type="dxa"/>
          </w:tcPr>
          <w:p w:rsidR="006055C2" w:rsidRDefault="007622BA">
            <w:pPr>
              <w:spacing w:line="360" w:lineRule="auto"/>
              <w:jc w:val="both"/>
              <w:rPr>
                <w:rFonts w:ascii="Arial" w:hAnsi="Arial"/>
                <w:szCs w:val="24"/>
                <w:rtl/>
              </w:rPr>
            </w:pPr>
            <w:r>
              <w:rPr>
                <w:rFonts w:ascii="Arial" w:hAnsi="Arial" w:hint="cs"/>
                <w:szCs w:val="24"/>
                <w:rtl/>
              </w:rPr>
              <w:t>18.04 שנים</w:t>
            </w:r>
          </w:p>
        </w:tc>
        <w:tc>
          <w:tcPr>
            <w:tcW w:w="1454" w:type="dxa"/>
          </w:tcPr>
          <w:p w:rsidR="006055C2" w:rsidRDefault="007622BA">
            <w:pPr>
              <w:spacing w:line="360" w:lineRule="auto"/>
              <w:jc w:val="both"/>
              <w:rPr>
                <w:rFonts w:ascii="Arial" w:hAnsi="Arial"/>
                <w:szCs w:val="24"/>
                <w:rtl/>
              </w:rPr>
            </w:pPr>
            <w:r>
              <w:rPr>
                <w:rFonts w:ascii="Arial" w:hAnsi="Arial" w:hint="cs"/>
                <w:szCs w:val="24"/>
                <w:rtl/>
              </w:rPr>
              <w:t>21,072 ₪</w:t>
            </w:r>
          </w:p>
        </w:tc>
        <w:tc>
          <w:tcPr>
            <w:tcW w:w="1454" w:type="dxa"/>
          </w:tcPr>
          <w:p w:rsidR="006055C2" w:rsidRDefault="007622BA">
            <w:pPr>
              <w:spacing w:line="360" w:lineRule="auto"/>
              <w:jc w:val="both"/>
              <w:rPr>
                <w:rFonts w:ascii="Arial" w:hAnsi="Arial"/>
                <w:szCs w:val="24"/>
                <w:rtl/>
              </w:rPr>
            </w:pPr>
            <w:r>
              <w:rPr>
                <w:rFonts w:ascii="Arial" w:hAnsi="Arial" w:hint="cs"/>
                <w:szCs w:val="24"/>
                <w:rtl/>
              </w:rPr>
              <w:t>28%</w:t>
            </w:r>
          </w:p>
        </w:tc>
        <w:tc>
          <w:tcPr>
            <w:tcW w:w="1454" w:type="dxa"/>
          </w:tcPr>
          <w:p w:rsidR="006055C2" w:rsidRDefault="007622BA">
            <w:pPr>
              <w:spacing w:line="360" w:lineRule="auto"/>
              <w:jc w:val="both"/>
              <w:rPr>
                <w:rFonts w:ascii="Arial" w:hAnsi="Arial"/>
                <w:szCs w:val="24"/>
                <w:rtl/>
              </w:rPr>
            </w:pPr>
            <w:r>
              <w:rPr>
                <w:rFonts w:ascii="Arial" w:hAnsi="Arial" w:hint="cs"/>
                <w:szCs w:val="24"/>
                <w:rtl/>
              </w:rPr>
              <w:t>106,439 ₪</w:t>
            </w:r>
          </w:p>
        </w:tc>
      </w:tr>
      <w:tr w:rsidR="006055C2">
        <w:tc>
          <w:tcPr>
            <w:tcW w:w="1453" w:type="dxa"/>
          </w:tcPr>
          <w:p w:rsidR="006055C2" w:rsidRDefault="007622BA">
            <w:pPr>
              <w:spacing w:line="360" w:lineRule="auto"/>
              <w:jc w:val="both"/>
              <w:rPr>
                <w:rFonts w:ascii="Arial" w:hAnsi="Arial"/>
                <w:szCs w:val="24"/>
                <w:rtl/>
              </w:rPr>
            </w:pPr>
            <w:r>
              <w:rPr>
                <w:rFonts w:ascii="Arial" w:hAnsi="Arial" w:hint="cs"/>
                <w:szCs w:val="24"/>
                <w:rtl/>
              </w:rPr>
              <w:t>מ- 1.6.03</w:t>
            </w:r>
          </w:p>
        </w:tc>
        <w:tc>
          <w:tcPr>
            <w:tcW w:w="1453" w:type="dxa"/>
          </w:tcPr>
          <w:p w:rsidR="006055C2" w:rsidRDefault="007622BA">
            <w:pPr>
              <w:spacing w:line="360" w:lineRule="auto"/>
              <w:jc w:val="both"/>
              <w:rPr>
                <w:rFonts w:ascii="Arial" w:hAnsi="Arial"/>
                <w:szCs w:val="24"/>
                <w:rtl/>
              </w:rPr>
            </w:pPr>
            <w:r>
              <w:rPr>
                <w:rFonts w:ascii="Arial" w:hAnsi="Arial" w:hint="cs"/>
                <w:szCs w:val="24"/>
                <w:rtl/>
              </w:rPr>
              <w:t>עד 30.07.09</w:t>
            </w:r>
          </w:p>
        </w:tc>
        <w:tc>
          <w:tcPr>
            <w:tcW w:w="1453" w:type="dxa"/>
          </w:tcPr>
          <w:p w:rsidR="006055C2" w:rsidRDefault="007622BA">
            <w:pPr>
              <w:spacing w:line="360" w:lineRule="auto"/>
              <w:jc w:val="both"/>
              <w:rPr>
                <w:rFonts w:ascii="Arial" w:hAnsi="Arial"/>
                <w:szCs w:val="24"/>
                <w:rtl/>
              </w:rPr>
            </w:pPr>
            <w:r>
              <w:rPr>
                <w:rFonts w:ascii="Arial" w:hAnsi="Arial" w:hint="cs"/>
                <w:szCs w:val="24"/>
                <w:rtl/>
              </w:rPr>
              <w:t>6.17 שנים</w:t>
            </w:r>
          </w:p>
        </w:tc>
        <w:tc>
          <w:tcPr>
            <w:tcW w:w="1454" w:type="dxa"/>
          </w:tcPr>
          <w:p w:rsidR="006055C2" w:rsidRDefault="007622BA">
            <w:pPr>
              <w:spacing w:line="360" w:lineRule="auto"/>
              <w:jc w:val="both"/>
              <w:rPr>
                <w:rFonts w:ascii="Arial" w:hAnsi="Arial"/>
                <w:szCs w:val="24"/>
                <w:rtl/>
              </w:rPr>
            </w:pPr>
            <w:r>
              <w:rPr>
                <w:rFonts w:ascii="Arial" w:hAnsi="Arial" w:hint="cs"/>
                <w:szCs w:val="24"/>
                <w:rtl/>
              </w:rPr>
              <w:t xml:space="preserve">12,799 ₪ </w:t>
            </w:r>
          </w:p>
        </w:tc>
        <w:tc>
          <w:tcPr>
            <w:tcW w:w="1454" w:type="dxa"/>
          </w:tcPr>
          <w:p w:rsidR="006055C2" w:rsidRDefault="007622BA">
            <w:pPr>
              <w:spacing w:line="360" w:lineRule="auto"/>
              <w:jc w:val="both"/>
              <w:rPr>
                <w:rFonts w:ascii="Arial" w:hAnsi="Arial"/>
                <w:szCs w:val="24"/>
                <w:rtl/>
              </w:rPr>
            </w:pPr>
            <w:r>
              <w:rPr>
                <w:rFonts w:ascii="Arial" w:hAnsi="Arial" w:hint="cs"/>
                <w:szCs w:val="24"/>
                <w:rtl/>
              </w:rPr>
              <w:t>28%</w:t>
            </w:r>
          </w:p>
        </w:tc>
        <w:tc>
          <w:tcPr>
            <w:tcW w:w="1454" w:type="dxa"/>
          </w:tcPr>
          <w:p w:rsidR="006055C2" w:rsidRDefault="007622BA">
            <w:pPr>
              <w:spacing w:line="360" w:lineRule="auto"/>
              <w:jc w:val="both"/>
              <w:rPr>
                <w:rFonts w:ascii="Arial" w:hAnsi="Arial"/>
                <w:szCs w:val="24"/>
                <w:rtl/>
              </w:rPr>
            </w:pPr>
            <w:r>
              <w:rPr>
                <w:rFonts w:ascii="Arial" w:hAnsi="Arial" w:hint="cs"/>
                <w:szCs w:val="24"/>
                <w:rtl/>
              </w:rPr>
              <w:t>22,112 ₪</w:t>
            </w:r>
          </w:p>
        </w:tc>
      </w:tr>
      <w:tr w:rsidR="006055C2">
        <w:tc>
          <w:tcPr>
            <w:tcW w:w="1453" w:type="dxa"/>
          </w:tcPr>
          <w:p w:rsidR="006055C2" w:rsidRDefault="006055C2">
            <w:pPr>
              <w:spacing w:line="360" w:lineRule="auto"/>
              <w:jc w:val="both"/>
              <w:rPr>
                <w:rFonts w:ascii="Arial" w:hAnsi="Arial"/>
                <w:szCs w:val="24"/>
                <w:rtl/>
              </w:rPr>
            </w:pPr>
          </w:p>
        </w:tc>
        <w:tc>
          <w:tcPr>
            <w:tcW w:w="1453" w:type="dxa"/>
          </w:tcPr>
          <w:p w:rsidR="006055C2" w:rsidRDefault="006055C2">
            <w:pPr>
              <w:spacing w:line="360" w:lineRule="auto"/>
              <w:jc w:val="both"/>
              <w:rPr>
                <w:rFonts w:ascii="Arial" w:hAnsi="Arial"/>
                <w:szCs w:val="24"/>
                <w:rtl/>
              </w:rPr>
            </w:pPr>
          </w:p>
        </w:tc>
        <w:tc>
          <w:tcPr>
            <w:tcW w:w="1453" w:type="dxa"/>
          </w:tcPr>
          <w:p w:rsidR="006055C2" w:rsidRDefault="007622BA">
            <w:pPr>
              <w:spacing w:line="360" w:lineRule="auto"/>
              <w:jc w:val="both"/>
              <w:rPr>
                <w:rFonts w:ascii="Arial" w:hAnsi="Arial"/>
                <w:szCs w:val="24"/>
                <w:rtl/>
              </w:rPr>
            </w:pPr>
            <w:r>
              <w:rPr>
                <w:rFonts w:ascii="Arial" w:hAnsi="Arial" w:hint="cs"/>
                <w:szCs w:val="24"/>
                <w:rtl/>
              </w:rPr>
              <w:t>24.21 שנים</w:t>
            </w:r>
          </w:p>
        </w:tc>
        <w:tc>
          <w:tcPr>
            <w:tcW w:w="1454" w:type="dxa"/>
          </w:tcPr>
          <w:p w:rsidR="006055C2" w:rsidRDefault="006055C2">
            <w:pPr>
              <w:spacing w:line="360" w:lineRule="auto"/>
              <w:jc w:val="both"/>
              <w:rPr>
                <w:rFonts w:ascii="Arial" w:hAnsi="Arial"/>
                <w:szCs w:val="24"/>
                <w:rtl/>
              </w:rPr>
            </w:pPr>
          </w:p>
        </w:tc>
        <w:tc>
          <w:tcPr>
            <w:tcW w:w="1454" w:type="dxa"/>
          </w:tcPr>
          <w:p w:rsidR="006055C2" w:rsidRDefault="006055C2">
            <w:pPr>
              <w:spacing w:line="360" w:lineRule="auto"/>
              <w:jc w:val="both"/>
              <w:rPr>
                <w:rFonts w:ascii="Arial" w:hAnsi="Arial"/>
                <w:szCs w:val="24"/>
                <w:rtl/>
              </w:rPr>
            </w:pPr>
          </w:p>
        </w:tc>
        <w:tc>
          <w:tcPr>
            <w:tcW w:w="1454" w:type="dxa"/>
          </w:tcPr>
          <w:p w:rsidR="006055C2" w:rsidRDefault="007622BA">
            <w:pPr>
              <w:spacing w:line="360" w:lineRule="auto"/>
              <w:jc w:val="both"/>
              <w:rPr>
                <w:rFonts w:ascii="Arial" w:hAnsi="Arial"/>
                <w:b/>
                <w:bCs/>
                <w:szCs w:val="24"/>
                <w:rtl/>
              </w:rPr>
            </w:pPr>
            <w:r>
              <w:rPr>
                <w:rFonts w:ascii="Arial" w:hAnsi="Arial" w:hint="cs"/>
                <w:b/>
                <w:bCs/>
                <w:szCs w:val="24"/>
                <w:rtl/>
              </w:rPr>
              <w:t xml:space="preserve">128,550 ₪ </w:t>
            </w:r>
          </w:p>
        </w:tc>
      </w:tr>
    </w:tbl>
    <w:p w:rsidR="006055C2" w:rsidRDefault="006055C2">
      <w:pPr>
        <w:spacing w:line="360" w:lineRule="auto"/>
        <w:jc w:val="both"/>
        <w:rPr>
          <w:rFonts w:ascii="Arial" w:hAnsi="Arial"/>
          <w:szCs w:val="24"/>
          <w:rtl/>
        </w:rPr>
      </w:pPr>
    </w:p>
    <w:p w:rsidR="006055C2" w:rsidRDefault="006055C2">
      <w:pPr>
        <w:spacing w:line="360" w:lineRule="auto"/>
        <w:jc w:val="both"/>
        <w:rPr>
          <w:rFonts w:ascii="Arial" w:hAnsi="Arial"/>
          <w:szCs w:val="24"/>
          <w:rtl/>
        </w:rPr>
      </w:pPr>
    </w:p>
    <w:p w:rsidR="006055C2" w:rsidRDefault="007622BA">
      <w:pPr>
        <w:spacing w:line="360" w:lineRule="auto"/>
        <w:ind w:left="720" w:hanging="720"/>
        <w:jc w:val="both"/>
        <w:rPr>
          <w:rFonts w:ascii="Arial" w:hAnsi="Arial"/>
          <w:szCs w:val="24"/>
          <w:rtl/>
        </w:rPr>
      </w:pPr>
      <w:r>
        <w:rPr>
          <w:rFonts w:ascii="Arial" w:hAnsi="Arial" w:hint="cs"/>
          <w:szCs w:val="24"/>
          <w:rtl/>
        </w:rPr>
        <w:t>35.</w:t>
      </w:r>
      <w:r>
        <w:rPr>
          <w:rFonts w:ascii="Arial" w:hAnsi="Arial" w:hint="cs"/>
          <w:szCs w:val="24"/>
          <w:rtl/>
        </w:rPr>
        <w:tab/>
        <w:t xml:space="preserve">התובע קיבל לידיו סך זה בשיק ביום 2.11.09, לכן הנתבעת לא נותרה חייבת לתובע יתרה בגין פיצויי פיטורים. </w:t>
      </w:r>
    </w:p>
    <w:p w:rsidR="006055C2" w:rsidRDefault="006055C2">
      <w:pPr>
        <w:spacing w:line="360" w:lineRule="auto"/>
        <w:jc w:val="both"/>
        <w:rPr>
          <w:rFonts w:ascii="Arial" w:hAnsi="Arial"/>
          <w:szCs w:val="24"/>
          <w:rtl/>
        </w:rPr>
      </w:pPr>
    </w:p>
    <w:p w:rsidR="006055C2" w:rsidRDefault="007622BA">
      <w:pPr>
        <w:spacing w:line="360" w:lineRule="auto"/>
        <w:jc w:val="both"/>
        <w:rPr>
          <w:rFonts w:ascii="Arial" w:hAnsi="Arial"/>
          <w:szCs w:val="24"/>
          <w:rtl/>
        </w:rPr>
      </w:pPr>
      <w:r>
        <w:rPr>
          <w:rFonts w:ascii="Arial" w:hAnsi="Arial" w:hint="cs"/>
          <w:szCs w:val="24"/>
          <w:rtl/>
        </w:rPr>
        <w:t>36.</w:t>
      </w:r>
      <w:r>
        <w:rPr>
          <w:rFonts w:ascii="Arial" w:hAnsi="Arial" w:hint="cs"/>
          <w:szCs w:val="24"/>
          <w:rtl/>
        </w:rPr>
        <w:tab/>
        <w:t xml:space="preserve">התביעה נדחית. התובע ישלם לנתבעת הוצאות משפט בסך </w:t>
      </w:r>
      <w:r>
        <w:rPr>
          <w:rFonts w:ascii="Arial" w:hAnsi="Arial" w:hint="cs"/>
          <w:b/>
          <w:bCs/>
          <w:szCs w:val="24"/>
          <w:rtl/>
        </w:rPr>
        <w:t>500 ₪</w:t>
      </w:r>
      <w:r>
        <w:rPr>
          <w:rFonts w:ascii="Arial" w:hAnsi="Arial" w:hint="cs"/>
          <w:szCs w:val="24"/>
          <w:rtl/>
        </w:rPr>
        <w:t xml:space="preserve"> ושכ"ט עו"ד בסך </w:t>
      </w:r>
      <w:r>
        <w:rPr>
          <w:rFonts w:ascii="Arial" w:hAnsi="Arial" w:hint="cs"/>
          <w:szCs w:val="24"/>
          <w:rtl/>
        </w:rPr>
        <w:tab/>
      </w:r>
    </w:p>
    <w:p w:rsidR="006055C2" w:rsidRDefault="007622BA">
      <w:pPr>
        <w:spacing w:line="360" w:lineRule="auto"/>
        <w:ind w:firstLine="720"/>
        <w:jc w:val="both"/>
        <w:rPr>
          <w:rFonts w:ascii="Arial" w:hAnsi="Arial"/>
          <w:szCs w:val="24"/>
          <w:rtl/>
        </w:rPr>
      </w:pPr>
      <w:r>
        <w:rPr>
          <w:rFonts w:ascii="Arial" w:hAnsi="Arial" w:hint="cs"/>
          <w:b/>
          <w:bCs/>
          <w:szCs w:val="24"/>
          <w:rtl/>
        </w:rPr>
        <w:t>7,500</w:t>
      </w:r>
      <w:r>
        <w:rPr>
          <w:rFonts w:ascii="Arial" w:hAnsi="Arial" w:hint="cs"/>
          <w:szCs w:val="24"/>
          <w:rtl/>
        </w:rPr>
        <w:t xml:space="preserve"> ₪, אשר ישולמו תוך 30 יום מהיום. </w:t>
      </w:r>
    </w:p>
    <w:p w:rsidR="006055C2" w:rsidRDefault="006055C2">
      <w:pPr>
        <w:spacing w:line="360" w:lineRule="auto"/>
        <w:jc w:val="both"/>
        <w:rPr>
          <w:rFonts w:ascii="Arial" w:hAnsi="Arial"/>
          <w:sz w:val="28"/>
          <w:rtl/>
        </w:rPr>
      </w:pPr>
    </w:p>
    <w:p w:rsidR="006055C2" w:rsidRDefault="007622BA">
      <w:pPr>
        <w:spacing w:line="360" w:lineRule="auto"/>
        <w:jc w:val="both"/>
        <w:rPr>
          <w:rFonts w:ascii="Arial" w:hAnsi="Arial"/>
          <w:sz w:val="28"/>
          <w:rtl/>
        </w:rPr>
      </w:pPr>
      <w:r>
        <w:rPr>
          <w:rFonts w:hint="cs"/>
          <w:rtl/>
        </w:rPr>
        <w:t xml:space="preserve">זכות ערעור לצדדים לבית הדין הארצי לעבודה בירושלים, תוך 30 יום מיום קבלת פסק הדין. </w:t>
      </w:r>
    </w:p>
    <w:p w:rsidR="006055C2" w:rsidRDefault="006055C2">
      <w:pPr>
        <w:spacing w:line="360" w:lineRule="auto"/>
        <w:jc w:val="both"/>
        <w:rPr>
          <w:rFonts w:ascii="Arial" w:hAnsi="Arial"/>
          <w:sz w:val="28"/>
          <w:rtl/>
        </w:rPr>
      </w:pPr>
    </w:p>
    <w:p w:rsidR="007622BA" w:rsidRPr="007622BA" w:rsidRDefault="007622BA">
      <w:pPr>
        <w:spacing w:line="360" w:lineRule="auto"/>
        <w:jc w:val="both"/>
        <w:rPr>
          <w:rFonts w:ascii="Arial" w:hAnsi="Arial"/>
          <w:b/>
          <w:bCs/>
          <w:color w:val="FFFFFF"/>
          <w:sz w:val="2"/>
          <w:szCs w:val="2"/>
          <w:rtl/>
        </w:rPr>
      </w:pPr>
    </w:p>
    <w:p w:rsidR="007622BA" w:rsidRPr="007622BA" w:rsidRDefault="007622BA">
      <w:pPr>
        <w:spacing w:line="360" w:lineRule="auto"/>
        <w:jc w:val="both"/>
        <w:rPr>
          <w:rFonts w:ascii="Arial" w:hAnsi="Arial"/>
          <w:b/>
          <w:bCs/>
          <w:color w:val="FFFFFF"/>
          <w:sz w:val="2"/>
          <w:szCs w:val="2"/>
          <w:rtl/>
        </w:rPr>
      </w:pPr>
      <w:r w:rsidRPr="007622BA">
        <w:rPr>
          <w:rFonts w:ascii="Arial" w:hAnsi="Arial"/>
          <w:b/>
          <w:bCs/>
          <w:color w:val="FFFFFF"/>
          <w:sz w:val="2"/>
          <w:szCs w:val="2"/>
          <w:rtl/>
        </w:rPr>
        <w:t>5129371</w:t>
      </w:r>
    </w:p>
    <w:p w:rsidR="007622BA" w:rsidRPr="007622BA" w:rsidRDefault="007622BA" w:rsidP="007622BA">
      <w:pPr>
        <w:keepNext/>
        <w:spacing w:line="360" w:lineRule="auto"/>
        <w:rPr>
          <w:rFonts w:ascii="David" w:hAnsi="David"/>
          <w:color w:val="000000"/>
          <w:sz w:val="22"/>
          <w:szCs w:val="22"/>
          <w:rtl/>
        </w:rPr>
      </w:pPr>
    </w:p>
    <w:p w:rsidR="007622BA" w:rsidRPr="007622BA" w:rsidRDefault="007622BA" w:rsidP="007622BA">
      <w:pPr>
        <w:keepNext/>
        <w:spacing w:line="360" w:lineRule="auto"/>
        <w:rPr>
          <w:rFonts w:ascii="David" w:hAnsi="David"/>
          <w:color w:val="000000"/>
          <w:sz w:val="22"/>
          <w:szCs w:val="22"/>
          <w:rtl/>
        </w:rPr>
      </w:pPr>
      <w:r w:rsidRPr="007622BA">
        <w:rPr>
          <w:rFonts w:ascii="David" w:hAnsi="David"/>
          <w:color w:val="000000"/>
          <w:sz w:val="22"/>
          <w:szCs w:val="22"/>
          <w:rtl/>
        </w:rPr>
        <w:t>ד"ר אריאלה גילצר כץ 54678313</w:t>
      </w:r>
    </w:p>
    <w:p w:rsidR="006055C2" w:rsidRDefault="007622BA">
      <w:pPr>
        <w:spacing w:line="360" w:lineRule="auto"/>
        <w:jc w:val="both"/>
        <w:rPr>
          <w:rFonts w:ascii="Arial" w:hAnsi="Arial"/>
          <w:sz w:val="12"/>
          <w:szCs w:val="16"/>
          <w:rtl/>
        </w:rPr>
      </w:pPr>
      <w:r w:rsidRPr="007622BA">
        <w:rPr>
          <w:rFonts w:ascii="Arial" w:hAnsi="Arial"/>
          <w:b/>
          <w:bCs/>
          <w:color w:val="FFFFFF"/>
          <w:sz w:val="2"/>
          <w:szCs w:val="2"/>
          <w:rtl/>
        </w:rPr>
        <w:t>54678313</w:t>
      </w:r>
      <w:r>
        <w:rPr>
          <w:rFonts w:ascii="Arial" w:hAnsi="Arial"/>
          <w:b/>
          <w:bCs/>
          <w:sz w:val="28"/>
          <w:rtl/>
        </w:rPr>
        <w:t xml:space="preserve">ניתן היום, ‏א' סיון תשע"ב, ‏22 מאי 2012, בהעדר הצדדים ויישלח אליהם. </w:t>
      </w:r>
      <w:r>
        <w:rPr>
          <w:rFonts w:ascii="Arial" w:hAnsi="Arial" w:hint="cs"/>
          <w:sz w:val="12"/>
          <w:szCs w:val="16"/>
          <w:rtl/>
        </w:rPr>
        <w:t>ק. אסף כהן</w:t>
      </w: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54"/>
        <w:gridCol w:w="360"/>
        <w:gridCol w:w="3060"/>
      </w:tblGrid>
      <w:tr w:rsidR="006055C2">
        <w:tc>
          <w:tcPr>
            <w:tcW w:w="2654" w:type="dxa"/>
            <w:tcBorders>
              <w:top w:val="nil"/>
              <w:left w:val="nil"/>
              <w:bottom w:val="single" w:sz="4" w:space="0" w:color="auto"/>
              <w:right w:val="nil"/>
            </w:tcBorders>
          </w:tcPr>
          <w:p w:rsidR="006055C2" w:rsidRDefault="006055C2">
            <w:pPr>
              <w:jc w:val="center"/>
              <w:rPr>
                <w:b/>
                <w:bCs/>
              </w:rPr>
            </w:pPr>
          </w:p>
        </w:tc>
        <w:tc>
          <w:tcPr>
            <w:tcW w:w="360" w:type="dxa"/>
          </w:tcPr>
          <w:p w:rsidR="006055C2" w:rsidRDefault="006055C2">
            <w:pPr>
              <w:jc w:val="center"/>
              <w:rPr>
                <w:b/>
                <w:bCs/>
              </w:rPr>
            </w:pPr>
          </w:p>
        </w:tc>
        <w:tc>
          <w:tcPr>
            <w:tcW w:w="3060" w:type="dxa"/>
            <w:tcBorders>
              <w:top w:val="nil"/>
              <w:left w:val="nil"/>
              <w:bottom w:val="single" w:sz="4" w:space="0" w:color="auto"/>
              <w:right w:val="nil"/>
            </w:tcBorders>
          </w:tcPr>
          <w:p w:rsidR="006055C2" w:rsidRDefault="006055C2">
            <w:pPr>
              <w:jc w:val="center"/>
              <w:rPr>
                <w:b/>
                <w:bCs/>
              </w:rPr>
            </w:pPr>
          </w:p>
        </w:tc>
      </w:tr>
      <w:tr w:rsidR="006055C2">
        <w:tc>
          <w:tcPr>
            <w:tcW w:w="2654" w:type="dxa"/>
            <w:tcBorders>
              <w:top w:val="single" w:sz="4" w:space="0" w:color="auto"/>
              <w:left w:val="nil"/>
              <w:bottom w:val="nil"/>
              <w:right w:val="nil"/>
            </w:tcBorders>
          </w:tcPr>
          <w:p w:rsidR="006055C2" w:rsidRDefault="007622BA">
            <w:pPr>
              <w:jc w:val="center"/>
              <w:rPr>
                <w:b/>
                <w:bCs/>
                <w:rtl/>
              </w:rPr>
            </w:pPr>
            <w:r>
              <w:rPr>
                <w:rFonts w:hint="cs"/>
                <w:b/>
                <w:bCs/>
                <w:rtl/>
              </w:rPr>
              <w:t>מר ויסאם עזאם</w:t>
            </w:r>
          </w:p>
          <w:p w:rsidR="006055C2" w:rsidRDefault="007622BA">
            <w:pPr>
              <w:jc w:val="center"/>
              <w:rPr>
                <w:b/>
                <w:bCs/>
              </w:rPr>
            </w:pPr>
            <w:r>
              <w:rPr>
                <w:rFonts w:hint="cs"/>
                <w:b/>
                <w:bCs/>
                <w:rtl/>
              </w:rPr>
              <w:t>נציג מעבידים</w:t>
            </w:r>
          </w:p>
        </w:tc>
        <w:tc>
          <w:tcPr>
            <w:tcW w:w="360" w:type="dxa"/>
          </w:tcPr>
          <w:p w:rsidR="006055C2" w:rsidRDefault="006055C2">
            <w:pPr>
              <w:jc w:val="center"/>
              <w:rPr>
                <w:b/>
                <w:bCs/>
              </w:rPr>
            </w:pPr>
          </w:p>
        </w:tc>
        <w:tc>
          <w:tcPr>
            <w:tcW w:w="3060" w:type="dxa"/>
            <w:tcBorders>
              <w:top w:val="single" w:sz="4" w:space="0" w:color="auto"/>
              <w:left w:val="nil"/>
              <w:bottom w:val="nil"/>
              <w:right w:val="nil"/>
            </w:tcBorders>
          </w:tcPr>
          <w:p w:rsidR="006055C2" w:rsidRDefault="007622BA">
            <w:pPr>
              <w:jc w:val="center"/>
              <w:rPr>
                <w:b/>
                <w:bCs/>
              </w:rPr>
            </w:pPr>
            <w:r>
              <w:rPr>
                <w:rFonts w:hint="cs"/>
                <w:b/>
                <w:bCs/>
                <w:rtl/>
              </w:rPr>
              <w:t>ד"ר אריאלה גילצר-כץ, שופטת</w:t>
            </w:r>
          </w:p>
        </w:tc>
      </w:tr>
    </w:tbl>
    <w:p w:rsidR="007622BA" w:rsidRDefault="007622BA" w:rsidP="007622BA">
      <w:r w:rsidRPr="007622BA">
        <w:rPr>
          <w:color w:val="000000"/>
          <w:rtl/>
        </w:rPr>
        <w:t>נוסח מסמך זה כפוף לשינויי ניסוח ועריכה</w:t>
      </w:r>
    </w:p>
    <w:p w:rsidR="007622BA" w:rsidRDefault="007622BA" w:rsidP="007622BA">
      <w:pPr>
        <w:rPr>
          <w:rtl/>
        </w:rPr>
      </w:pPr>
    </w:p>
    <w:p w:rsidR="007622BA" w:rsidRDefault="007622BA" w:rsidP="007622BA">
      <w:pPr>
        <w:jc w:val="center"/>
        <w:rPr>
          <w:color w:val="0000FF"/>
          <w:szCs w:val="24"/>
          <w:u w:val="single"/>
        </w:rPr>
      </w:pPr>
      <w:hyperlink r:id="rId13" w:history="1">
        <w:r>
          <w:rPr>
            <w:color w:val="0000FF"/>
            <w:szCs w:val="24"/>
            <w:u w:val="single"/>
            <w:rtl/>
          </w:rPr>
          <w:t>בעניין עריכה ושינויים במסמכי פסיקה, חקיקה ועוד באתר נבו – הקש כאן</w:t>
        </w:r>
      </w:hyperlink>
    </w:p>
    <w:p w:rsidR="006055C2" w:rsidRPr="007622BA" w:rsidRDefault="006055C2" w:rsidP="007622BA">
      <w:pPr>
        <w:jc w:val="center"/>
        <w:rPr>
          <w:color w:val="0000FF"/>
          <w:szCs w:val="24"/>
          <w:u w:val="single"/>
        </w:rPr>
      </w:pPr>
    </w:p>
    <w:sectPr w:rsidR="006055C2" w:rsidRPr="007622BA" w:rsidSect="007622BA">
      <w:headerReference w:type="even" r:id="rId14"/>
      <w:headerReference w:type="default" r:id="rId15"/>
      <w:footerReference w:type="even" r:id="rId16"/>
      <w:footerReference w:type="default" r:id="rId17"/>
      <w:pgSz w:w="11907" w:h="16840" w:code="9"/>
      <w:pgMar w:top="1701" w:right="1701" w:bottom="1134" w:left="1701" w:header="720" w:footer="737"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403" w:rsidRPr="001754EC" w:rsidRDefault="00423403">
      <w:pPr>
        <w:rPr>
          <w:rFonts w:cs="Arial"/>
          <w:szCs w:val="20"/>
        </w:rPr>
      </w:pPr>
      <w:r>
        <w:separator/>
      </w:r>
    </w:p>
  </w:endnote>
  <w:endnote w:type="continuationSeparator" w:id="1">
    <w:p w:rsidR="00423403" w:rsidRPr="001754EC" w:rsidRDefault="00423403">
      <w:pPr>
        <w:rPr>
          <w:rFonts w:cs="Arial"/>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Ruehl">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2BA" w:rsidRDefault="007622BA" w:rsidP="007622BA">
    <w:pPr>
      <w:pStyle w:val="a4"/>
      <w:jc w:val="center"/>
      <w:rPr>
        <w:rFonts w:ascii="FrankRuehl" w:hAnsi="FrankRuehl" w:cs="FrankRuehl"/>
        <w:szCs w:val="24"/>
      </w:rPr>
    </w:pPr>
    <w:r>
      <w:rPr>
        <w:rFonts w:ascii="FrankRuehl" w:hAnsi="FrankRuehl" w:cs="FrankRuehl"/>
        <w:szCs w:val="24"/>
        <w:rtl/>
      </w:rPr>
      <w:fldChar w:fldCharType="begin"/>
    </w:r>
    <w:r>
      <w:rPr>
        <w:rFonts w:ascii="FrankRuehl" w:hAnsi="FrankRuehl" w:cs="FrankRuehl"/>
        <w:szCs w:val="24"/>
        <w:rtl/>
      </w:rPr>
      <w:instrText xml:space="preserve"> </w:instrText>
    </w:r>
    <w:r>
      <w:rPr>
        <w:rFonts w:ascii="FrankRuehl" w:hAnsi="FrankRuehl" w:cs="FrankRuehl"/>
        <w:szCs w:val="24"/>
      </w:rPr>
      <w:instrText>PAGE</w:instrText>
    </w:r>
    <w:r>
      <w:rPr>
        <w:rFonts w:ascii="FrankRuehl" w:hAnsi="FrankRuehl" w:cs="FrankRuehl"/>
        <w:szCs w:val="24"/>
        <w:rtl/>
      </w:rPr>
      <w:instrText xml:space="preserve">  \* </w:instrText>
    </w:r>
    <w:r>
      <w:rPr>
        <w:rFonts w:ascii="FrankRuehl" w:hAnsi="FrankRuehl" w:cs="FrankRuehl"/>
        <w:szCs w:val="24"/>
      </w:rPr>
      <w:instrText>MERGEFORMAT</w:instrText>
    </w:r>
    <w:r>
      <w:rPr>
        <w:rFonts w:ascii="FrankRuehl" w:hAnsi="FrankRuehl" w:cs="FrankRuehl"/>
        <w:szCs w:val="24"/>
        <w:rtl/>
      </w:rPr>
      <w:instrText xml:space="preserve"> </w:instrText>
    </w:r>
    <w:r>
      <w:rPr>
        <w:rFonts w:ascii="FrankRuehl" w:hAnsi="FrankRuehl" w:cs="FrankRuehl"/>
        <w:szCs w:val="24"/>
        <w:rtl/>
      </w:rPr>
      <w:fldChar w:fldCharType="separate"/>
    </w:r>
    <w:r>
      <w:rPr>
        <w:rFonts w:ascii="FrankRuehl" w:hAnsi="FrankRuehl" w:cs="FrankRuehl"/>
        <w:noProof/>
        <w:szCs w:val="24"/>
        <w:rtl/>
      </w:rPr>
      <w:t>8</w:t>
    </w:r>
    <w:r>
      <w:rPr>
        <w:rFonts w:ascii="FrankRuehl" w:hAnsi="FrankRuehl" w:cs="FrankRuehl"/>
        <w:szCs w:val="24"/>
        <w:rtl/>
      </w:rPr>
      <w:fldChar w:fldCharType="end"/>
    </w:r>
  </w:p>
  <w:p w:rsidR="007622BA" w:rsidRPr="007622BA" w:rsidRDefault="00167E34" w:rsidP="007622BA">
    <w:pPr>
      <w:pStyle w:val="a4"/>
      <w:pBdr>
        <w:top w:val="single" w:sz="4" w:space="1" w:color="auto"/>
        <w:between w:val="single" w:sz="4" w:space="0" w:color="auto"/>
      </w:pBdr>
      <w:spacing w:after="60"/>
      <w:jc w:val="center"/>
      <w:rPr>
        <w:rFonts w:ascii="FrankRuehl" w:hAnsi="FrankRuehl" w:cs="FrankRuehl"/>
        <w:color w:val="000000"/>
        <w:szCs w:val="24"/>
      </w:rPr>
    </w:pPr>
    <w:r>
      <w:rPr>
        <w:rFonts w:ascii="FrankRuehl" w:hAnsi="FrankRuehl" w:cs="FrankRuehl"/>
        <w:noProof/>
        <w:color w:val="000000"/>
        <w:szCs w:val="24"/>
      </w:rPr>
      <w:drawing>
        <wp:inline distT="0" distB="0" distL="0" distR="0">
          <wp:extent cx="552450" cy="228600"/>
          <wp:effectExtent l="19050" t="0" r="0" b="0"/>
          <wp:docPr id="1" name="תמונה 1" descr="Nev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ologo2"/>
                  <pic:cNvPicPr>
                    <a:picLocks noChangeAspect="1" noChangeArrowheads="1"/>
                  </pic:cNvPicPr>
                </pic:nvPicPr>
                <pic:blipFill>
                  <a:blip r:embed="rId1"/>
                  <a:srcRect/>
                  <a:stretch>
                    <a:fillRect/>
                  </a:stretch>
                </pic:blipFill>
                <pic:spPr bwMode="auto">
                  <a:xfrm>
                    <a:off x="0" y="0"/>
                    <a:ext cx="552450" cy="2286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2BA" w:rsidRDefault="007622BA" w:rsidP="007622BA">
    <w:pPr>
      <w:pStyle w:val="a4"/>
      <w:jc w:val="center"/>
      <w:rPr>
        <w:rStyle w:val="a6"/>
        <w:rFonts w:ascii="FrankRuehl" w:hAnsi="FrankRuehl" w:cs="FrankRuehl"/>
        <w:szCs w:val="24"/>
      </w:rPr>
    </w:pPr>
    <w:r>
      <w:rPr>
        <w:rStyle w:val="a6"/>
        <w:rFonts w:ascii="FrankRuehl" w:hAnsi="FrankRuehl" w:cs="FrankRuehl"/>
        <w:szCs w:val="24"/>
        <w:rtl/>
      </w:rPr>
      <w:fldChar w:fldCharType="begin"/>
    </w:r>
    <w:r>
      <w:rPr>
        <w:rStyle w:val="a6"/>
        <w:rFonts w:ascii="FrankRuehl" w:hAnsi="FrankRuehl" w:cs="FrankRuehl"/>
        <w:szCs w:val="24"/>
        <w:rtl/>
      </w:rPr>
      <w:instrText xml:space="preserve"> </w:instrText>
    </w:r>
    <w:r>
      <w:rPr>
        <w:rStyle w:val="a6"/>
        <w:rFonts w:ascii="FrankRuehl" w:hAnsi="FrankRuehl" w:cs="FrankRuehl"/>
        <w:szCs w:val="24"/>
      </w:rPr>
      <w:instrText>PAGE</w:instrText>
    </w:r>
    <w:r>
      <w:rPr>
        <w:rStyle w:val="a6"/>
        <w:rFonts w:ascii="FrankRuehl" w:hAnsi="FrankRuehl" w:cs="FrankRuehl"/>
        <w:szCs w:val="24"/>
        <w:rtl/>
      </w:rPr>
      <w:instrText xml:space="preserve">  \* </w:instrText>
    </w:r>
    <w:r>
      <w:rPr>
        <w:rStyle w:val="a6"/>
        <w:rFonts w:ascii="FrankRuehl" w:hAnsi="FrankRuehl" w:cs="FrankRuehl"/>
        <w:szCs w:val="24"/>
      </w:rPr>
      <w:instrText>MERGEFORMAT</w:instrText>
    </w:r>
    <w:r>
      <w:rPr>
        <w:rStyle w:val="a6"/>
        <w:rFonts w:ascii="FrankRuehl" w:hAnsi="FrankRuehl" w:cs="FrankRuehl"/>
        <w:szCs w:val="24"/>
        <w:rtl/>
      </w:rPr>
      <w:instrText xml:space="preserve"> </w:instrText>
    </w:r>
    <w:r>
      <w:rPr>
        <w:rStyle w:val="a6"/>
        <w:rFonts w:ascii="FrankRuehl" w:hAnsi="FrankRuehl" w:cs="FrankRuehl"/>
        <w:szCs w:val="24"/>
        <w:rtl/>
      </w:rPr>
      <w:fldChar w:fldCharType="separate"/>
    </w:r>
    <w:r w:rsidR="00167E34">
      <w:rPr>
        <w:rStyle w:val="a6"/>
        <w:rFonts w:ascii="FrankRuehl" w:hAnsi="FrankRuehl" w:cs="FrankRuehl"/>
        <w:noProof/>
        <w:szCs w:val="24"/>
        <w:rtl/>
      </w:rPr>
      <w:t>1</w:t>
    </w:r>
    <w:r>
      <w:rPr>
        <w:rStyle w:val="a6"/>
        <w:rFonts w:ascii="FrankRuehl" w:hAnsi="FrankRuehl" w:cs="FrankRuehl"/>
        <w:szCs w:val="24"/>
        <w:rtl/>
      </w:rPr>
      <w:fldChar w:fldCharType="end"/>
    </w:r>
  </w:p>
  <w:p w:rsidR="006055C2" w:rsidRPr="007622BA" w:rsidRDefault="00167E34" w:rsidP="007622BA">
    <w:pPr>
      <w:pStyle w:val="a4"/>
      <w:pBdr>
        <w:top w:val="single" w:sz="4" w:space="1" w:color="auto"/>
        <w:between w:val="single" w:sz="4" w:space="0" w:color="auto"/>
      </w:pBdr>
      <w:spacing w:after="60"/>
      <w:jc w:val="center"/>
      <w:rPr>
        <w:rStyle w:val="a6"/>
        <w:rFonts w:ascii="FrankRuehl" w:hAnsi="FrankRuehl" w:cs="FrankRuehl"/>
        <w:color w:val="000000"/>
        <w:szCs w:val="24"/>
      </w:rPr>
    </w:pPr>
    <w:r>
      <w:rPr>
        <w:rFonts w:ascii="FrankRuehl" w:hAnsi="FrankRuehl" w:cs="FrankRuehl"/>
        <w:noProof/>
        <w:color w:val="000000"/>
        <w:szCs w:val="24"/>
      </w:rPr>
      <w:drawing>
        <wp:inline distT="0" distB="0" distL="0" distR="0">
          <wp:extent cx="552450" cy="228600"/>
          <wp:effectExtent l="19050" t="0" r="0" b="0"/>
          <wp:docPr id="2" name="תמונה 2" descr="Nev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vologo2"/>
                  <pic:cNvPicPr>
                    <a:picLocks noChangeAspect="1" noChangeArrowheads="1"/>
                  </pic:cNvPicPr>
                </pic:nvPicPr>
                <pic:blipFill>
                  <a:blip r:embed="rId1"/>
                  <a:srcRect/>
                  <a:stretch>
                    <a:fillRect/>
                  </a:stretch>
                </pic:blipFill>
                <pic:spPr bwMode="auto">
                  <a:xfrm>
                    <a:off x="0" y="0"/>
                    <a:ext cx="552450" cy="228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403" w:rsidRPr="001754EC" w:rsidRDefault="00423403">
      <w:pPr>
        <w:rPr>
          <w:rFonts w:cs="Arial"/>
          <w:szCs w:val="20"/>
        </w:rPr>
      </w:pPr>
      <w:r>
        <w:separator/>
      </w:r>
    </w:p>
  </w:footnote>
  <w:footnote w:type="continuationSeparator" w:id="1">
    <w:p w:rsidR="00423403" w:rsidRPr="001754EC" w:rsidRDefault="00423403">
      <w:pPr>
        <w:rPr>
          <w:rFonts w:cs="Arial"/>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2BA" w:rsidRPr="007622BA" w:rsidRDefault="007622BA" w:rsidP="007622BA">
    <w:pPr>
      <w:pStyle w:val="a3"/>
      <w:pBdr>
        <w:bottom w:val="single" w:sz="4" w:space="1" w:color="auto"/>
      </w:pBdr>
      <w:tabs>
        <w:tab w:val="clear" w:pos="4153"/>
        <w:tab w:val="clear" w:pos="8306"/>
        <w:tab w:val="right" w:pos="8311"/>
      </w:tabs>
      <w:spacing w:line="220" w:lineRule="exact"/>
      <w:rPr>
        <w:rFonts w:ascii="David" w:hAnsi="David"/>
        <w:color w:val="000000"/>
        <w:sz w:val="22"/>
        <w:szCs w:val="22"/>
        <w:rtl/>
      </w:rPr>
    </w:pPr>
    <w:r>
      <w:rPr>
        <w:rFonts w:ascii="David" w:hAnsi="David"/>
        <w:color w:val="000000"/>
        <w:sz w:val="22"/>
        <w:szCs w:val="22"/>
        <w:rtl/>
      </w:rPr>
      <w:t xml:space="preserve"> (ת"א) 12015/09 תעא (ת"א) 12015-09</w:t>
    </w:r>
    <w:r>
      <w:rPr>
        <w:rFonts w:ascii="David" w:hAnsi="David"/>
        <w:color w:val="000000"/>
        <w:sz w:val="22"/>
        <w:szCs w:val="22"/>
        <w:rtl/>
      </w:rPr>
      <w:tab/>
      <w:t xml:space="preserve"> רומן גליזר נ' בית הספר המרכזי למלונאות בע"מ</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2BA" w:rsidRPr="007622BA" w:rsidRDefault="007622BA" w:rsidP="007622BA">
    <w:pPr>
      <w:pStyle w:val="a3"/>
      <w:pBdr>
        <w:bottom w:val="single" w:sz="4" w:space="1" w:color="auto"/>
      </w:pBdr>
      <w:tabs>
        <w:tab w:val="clear" w:pos="4153"/>
        <w:tab w:val="clear" w:pos="8306"/>
        <w:tab w:val="right" w:pos="8311"/>
      </w:tabs>
      <w:spacing w:line="220" w:lineRule="exact"/>
      <w:rPr>
        <w:rFonts w:ascii="David" w:hAnsi="David"/>
        <w:color w:val="000000"/>
        <w:sz w:val="22"/>
        <w:szCs w:val="22"/>
        <w:rtl/>
      </w:rPr>
    </w:pPr>
    <w:r>
      <w:rPr>
        <w:rFonts w:ascii="David" w:hAnsi="David"/>
        <w:color w:val="000000"/>
        <w:sz w:val="22"/>
        <w:szCs w:val="22"/>
        <w:rtl/>
      </w:rPr>
      <w:t xml:space="preserve"> (ת"א) 12015/09 תעא (ת"א) 12015-09</w:t>
    </w:r>
    <w:r>
      <w:rPr>
        <w:rFonts w:ascii="David" w:hAnsi="David"/>
        <w:color w:val="000000"/>
        <w:sz w:val="22"/>
        <w:szCs w:val="22"/>
        <w:rtl/>
      </w:rPr>
      <w:tab/>
      <w:t xml:space="preserve"> רומן גליזר נ' בית הספר המרכזי למלונאות בע"מ</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636A"/>
    <w:multiLevelType w:val="hybridMultilevel"/>
    <w:tmpl w:val="FAAC2E32"/>
    <w:lvl w:ilvl="0" w:tplc="2028F2C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094EB0"/>
    <w:multiLevelType w:val="hybridMultilevel"/>
    <w:tmpl w:val="F9A6DD04"/>
    <w:lvl w:ilvl="0" w:tplc="2028F2C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943E8F"/>
    <w:multiLevelType w:val="hybridMultilevel"/>
    <w:tmpl w:val="370067BC"/>
    <w:lvl w:ilvl="0" w:tplc="3BA0C1D8">
      <w:start w:val="1"/>
      <w:numFmt w:val="decimal"/>
      <w:lvlText w:val="%1."/>
      <w:lvlJc w:val="left"/>
      <w:pPr>
        <w:tabs>
          <w:tab w:val="num" w:pos="720"/>
        </w:tabs>
        <w:ind w:left="720" w:hanging="720"/>
      </w:pPr>
      <w:rPr>
        <w:rFonts w:hint="default"/>
        <w:sz w:val="24"/>
        <w:szCs w:val="24"/>
      </w:rPr>
    </w:lvl>
    <w:lvl w:ilvl="1" w:tplc="0409000F">
      <w:start w:val="1"/>
      <w:numFmt w:val="decimal"/>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docVars>
    <w:docVar w:name="MyInfo" w:val="This document was extracted from Nevo's site"/>
  </w:docVars>
  <w:rsids>
    <w:rsidRoot w:val="006055C2"/>
    <w:rsid w:val="00167E34"/>
    <w:rsid w:val="00283222"/>
    <w:rsid w:val="003C448A"/>
    <w:rsid w:val="00423403"/>
    <w:rsid w:val="006055C2"/>
    <w:rsid w:val="007622BA"/>
    <w:rsid w:val="00C4766B"/>
    <w:rsid w:val="00C6415E"/>
    <w:rsid w:val="00FD11F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5C2"/>
    <w:pPr>
      <w:bidi/>
    </w:pPr>
    <w:rPr>
      <w:rFonts w:cs="David"/>
      <w:sz w:val="24"/>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055C2"/>
    <w:pPr>
      <w:tabs>
        <w:tab w:val="center" w:pos="4153"/>
        <w:tab w:val="right" w:pos="8306"/>
      </w:tabs>
    </w:pPr>
  </w:style>
  <w:style w:type="paragraph" w:styleId="a4">
    <w:name w:val="footer"/>
    <w:basedOn w:val="a"/>
    <w:rsid w:val="006055C2"/>
    <w:pPr>
      <w:tabs>
        <w:tab w:val="center" w:pos="4153"/>
        <w:tab w:val="right" w:pos="8306"/>
      </w:tabs>
    </w:pPr>
  </w:style>
  <w:style w:type="table" w:styleId="a5">
    <w:name w:val="Table Grid"/>
    <w:basedOn w:val="a1"/>
    <w:rsid w:val="006055C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6055C2"/>
  </w:style>
  <w:style w:type="character" w:customStyle="1" w:styleId="normal-h">
    <w:name w:val="normal-h"/>
    <w:basedOn w:val="a0"/>
    <w:rsid w:val="006055C2"/>
  </w:style>
  <w:style w:type="character" w:styleId="a7">
    <w:name w:val="line number"/>
    <w:basedOn w:val="a0"/>
    <w:rsid w:val="006055C2"/>
  </w:style>
  <w:style w:type="character" w:styleId="Hyperlink">
    <w:name w:val="Hyperlink"/>
    <w:basedOn w:val="a0"/>
    <w:rsid w:val="007622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o.co.il/links/psika/?link=&#1514;&#1489;&#1506;%20&#1504;&#1491;/86-3" TargetMode="External"/><Relationship Id="rId13" Type="http://schemas.openxmlformats.org/officeDocument/2006/relationships/hyperlink" Target="http://www.nevo.co.il/advertisements/nevo-100.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vo.co.il/law_html/law01/255_001a.htm" TargetMode="External"/><Relationship Id="rId12" Type="http://schemas.openxmlformats.org/officeDocument/2006/relationships/hyperlink" Target="http://www.nevo.co.il/law_html/law01/p189_001.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o.co.il/law_html/law01/114_001.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nevo.co.il/links/psika/?link=&#1506;&#1506;%20282/0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vo.co.il/links/law/?link=&#1514;&#1511;&#1504;&#1493;&#1514;%20&#1502;&#1505;%20&#1492;&#1499;&#1504;&#1505;&#149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3886</Words>
  <Characters>19434</Characters>
  <Application>Microsoft Office Word</Application>
  <DocSecurity>0</DocSecurity>
  <Lines>161</Lines>
  <Paragraphs>46</Paragraphs>
  <ScaleCrop>false</ScaleCrop>
  <HeadingPairs>
    <vt:vector size="2" baseType="variant">
      <vt:variant>
        <vt:lpstr>Title</vt:lpstr>
      </vt:variant>
      <vt:variant>
        <vt:i4>1</vt:i4>
      </vt:variant>
    </vt:vector>
  </HeadingPairs>
  <TitlesOfParts>
    <vt:vector size="1" baseType="lpstr">
      <vt:lpstr>nevo.co.il</vt:lpstr>
    </vt:vector>
  </TitlesOfParts>
  <Company> </Company>
  <LinksUpToDate>false</LinksUpToDate>
  <CharactersWithSpaces>23274</CharactersWithSpaces>
  <SharedDoc>false</SharedDoc>
  <HLinks>
    <vt:vector size="42" baseType="variant">
      <vt:variant>
        <vt:i4>393283</vt:i4>
      </vt:variant>
      <vt:variant>
        <vt:i4>18</vt:i4>
      </vt:variant>
      <vt:variant>
        <vt:i4>0</vt:i4>
      </vt:variant>
      <vt:variant>
        <vt:i4>5</vt:i4>
      </vt:variant>
      <vt:variant>
        <vt:lpwstr>http://www.nevo.co.il/advertisements/nevo-100.doc</vt:lpwstr>
      </vt:variant>
      <vt:variant>
        <vt:lpwstr/>
      </vt:variant>
      <vt:variant>
        <vt:i4>4522069</vt:i4>
      </vt:variant>
      <vt:variant>
        <vt:i4>15</vt:i4>
      </vt:variant>
      <vt:variant>
        <vt:i4>0</vt:i4>
      </vt:variant>
      <vt:variant>
        <vt:i4>5</vt:i4>
      </vt:variant>
      <vt:variant>
        <vt:lpwstr>http://www.nevo.co.il/law_html/law01/p189_001.htm</vt:lpwstr>
      </vt:variant>
      <vt:variant>
        <vt:lpwstr/>
      </vt:variant>
      <vt:variant>
        <vt:i4>3735600</vt:i4>
      </vt:variant>
      <vt:variant>
        <vt:i4>12</vt:i4>
      </vt:variant>
      <vt:variant>
        <vt:i4>0</vt:i4>
      </vt:variant>
      <vt:variant>
        <vt:i4>5</vt:i4>
      </vt:variant>
      <vt:variant>
        <vt:lpwstr>http://www.nevo.co.il/law_html/law01/114_001.htm</vt:lpwstr>
      </vt:variant>
      <vt:variant>
        <vt:lpwstr/>
      </vt:variant>
      <vt:variant>
        <vt:i4>96667034</vt:i4>
      </vt:variant>
      <vt:variant>
        <vt:i4>9</vt:i4>
      </vt:variant>
      <vt:variant>
        <vt:i4>0</vt:i4>
      </vt:variant>
      <vt:variant>
        <vt:i4>5</vt:i4>
      </vt:variant>
      <vt:variant>
        <vt:lpwstr>http://www.nevo.co.il/links/psika/?link=עע 282/08</vt:lpwstr>
      </vt:variant>
      <vt:variant>
        <vt:lpwstr/>
      </vt:variant>
      <vt:variant>
        <vt:i4>8060936</vt:i4>
      </vt:variant>
      <vt:variant>
        <vt:i4>6</vt:i4>
      </vt:variant>
      <vt:variant>
        <vt:i4>0</vt:i4>
      </vt:variant>
      <vt:variant>
        <vt:i4>5</vt:i4>
      </vt:variant>
      <vt:variant>
        <vt:lpwstr>http://www.nevo.co.il/links/law/?link=תקנות מס הכנסה</vt:lpwstr>
      </vt:variant>
      <vt:variant>
        <vt:lpwstr/>
      </vt:variant>
      <vt:variant>
        <vt:i4>2491838</vt:i4>
      </vt:variant>
      <vt:variant>
        <vt:i4>3</vt:i4>
      </vt:variant>
      <vt:variant>
        <vt:i4>0</vt:i4>
      </vt:variant>
      <vt:variant>
        <vt:i4>5</vt:i4>
      </vt:variant>
      <vt:variant>
        <vt:lpwstr>http://www.nevo.co.il/links/psika/?link=תבע נד/86-3</vt:lpwstr>
      </vt:variant>
      <vt:variant>
        <vt:lpwstr/>
      </vt:variant>
      <vt:variant>
        <vt:i4>6553703</vt:i4>
      </vt:variant>
      <vt:variant>
        <vt:i4>0</vt:i4>
      </vt:variant>
      <vt:variant>
        <vt:i4>0</vt:i4>
      </vt:variant>
      <vt:variant>
        <vt:i4>5</vt:i4>
      </vt:variant>
      <vt:variant>
        <vt:lpwstr>http://www.nevo.co.il/law_html/law01/255_001a.htm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nevo.co.il</dc:title>
  <dc:subject> </dc:subject>
  <dc:creator> </dc:creator>
  <cp:keywords/>
  <dc:description/>
  <cp:lastModifiedBy>*****</cp:lastModifiedBy>
  <cp:revision>2</cp:revision>
  <dcterms:created xsi:type="dcterms:W3CDTF">2014-08-21T07:46:00Z</dcterms:created>
  <dcterms:modified xsi:type="dcterms:W3CDTF">2014-08-21T07:46:00Z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5</vt:lpwstr>
  </property>
  <property fmtid="{D5CDD505-2E9C-101B-9397-08002B2CF9AE}" pid="3" name="PSAKDIN">
    <vt:lpwstr>פסק-דין</vt:lpwstr>
  </property>
  <property fmtid="{D5CDD505-2E9C-101B-9397-08002B2CF9AE}" pid="4" name="NEWPROC">
    <vt:lpwstr>תעא</vt:lpwstr>
  </property>
  <property fmtid="{D5CDD505-2E9C-101B-9397-08002B2CF9AE}" pid="5" name="NEWPARTA">
    <vt:lpwstr>12015</vt:lpwstr>
  </property>
  <property fmtid="{D5CDD505-2E9C-101B-9397-08002B2CF9AE}" pid="6" name="NEWPARTB">
    <vt:lpwstr/>
  </property>
  <property fmtid="{D5CDD505-2E9C-101B-9397-08002B2CF9AE}" pid="7" name="NEWPARTC">
    <vt:lpwstr>09</vt:lpwstr>
  </property>
  <property fmtid="{D5CDD505-2E9C-101B-9397-08002B2CF9AE}" pid="8" name="PROCNUM">
    <vt:lpwstr>12015</vt:lpwstr>
  </property>
  <property fmtid="{D5CDD505-2E9C-101B-9397-08002B2CF9AE}" pid="9" name="PROCYEAR">
    <vt:lpwstr>09</vt:lpwstr>
  </property>
  <property fmtid="{D5CDD505-2E9C-101B-9397-08002B2CF9AE}" pid="10" name="APPELLANT">
    <vt:lpwstr>רומן גליזר</vt:lpwstr>
  </property>
  <property fmtid="{D5CDD505-2E9C-101B-9397-08002B2CF9AE}" pid="11" name="APPELLEE">
    <vt:lpwstr>בית הספר המרכזי למלונאות בע#מ</vt:lpwstr>
  </property>
  <property fmtid="{D5CDD505-2E9C-101B-9397-08002B2CF9AE}" pid="12" name="LAWYER">
    <vt:lpwstr>עודד ערמוני;חיים כהן;צפנת שובל</vt:lpwstr>
  </property>
  <property fmtid="{D5CDD505-2E9C-101B-9397-08002B2CF9AE}" pid="13" name="JUDGE">
    <vt:lpwstr>ד#ר אריאלה גילצר כץ;נ.צ.: ו' עזאם</vt:lpwstr>
  </property>
  <property fmtid="{D5CDD505-2E9C-101B-9397-08002B2CF9AE}" pid="14" name="CITY">
    <vt:lpwstr>ת"א</vt:lpwstr>
  </property>
  <property fmtid="{D5CDD505-2E9C-101B-9397-08002B2CF9AE}" pid="15" name="DATE">
    <vt:lpwstr>20120522</vt:lpwstr>
  </property>
  <property fmtid="{D5CDD505-2E9C-101B-9397-08002B2CF9AE}" pid="16" name="TYPE_N_DATE">
    <vt:lpwstr>35020120522</vt:lpwstr>
  </property>
  <property fmtid="{D5CDD505-2E9C-101B-9397-08002B2CF9AE}" pid="17" name="WORDNUMPAGES">
    <vt:lpwstr>14</vt:lpwstr>
  </property>
  <property fmtid="{D5CDD505-2E9C-101B-9397-08002B2CF9AE}" pid="18" name="TYPE_ABS_DATE">
    <vt:lpwstr>350120120522</vt:lpwstr>
  </property>
  <property fmtid="{D5CDD505-2E9C-101B-9397-08002B2CF9AE}" pid="19" name="ISABSTRACT">
    <vt:lpwstr>Y</vt:lpwstr>
  </property>
  <property fmtid="{D5CDD505-2E9C-101B-9397-08002B2CF9AE}" pid="20" name="APPELLANT1">
    <vt:lpwstr/>
  </property>
  <property fmtid="{D5CDD505-2E9C-101B-9397-08002B2CF9AE}" pid="21" name="APPELLANT2">
    <vt:lpwstr/>
  </property>
  <property fmtid="{D5CDD505-2E9C-101B-9397-08002B2CF9AE}" pid="22" name="APPELLEE1">
    <vt:lpwstr/>
  </property>
  <property fmtid="{D5CDD505-2E9C-101B-9397-08002B2CF9AE}" pid="23" name="APPELLEE2">
    <vt:lpwstr/>
  </property>
  <property fmtid="{D5CDD505-2E9C-101B-9397-08002B2CF9AE}" pid="24" name="PROCESS">
    <vt:lpwstr/>
  </property>
  <property fmtid="{D5CDD505-2E9C-101B-9397-08002B2CF9AE}" pid="25" name="VOLUME">
    <vt:lpwstr/>
  </property>
  <property fmtid="{D5CDD505-2E9C-101B-9397-08002B2CF9AE}" pid="26" name="PART">
    <vt:lpwstr/>
  </property>
  <property fmtid="{D5CDD505-2E9C-101B-9397-08002B2CF9AE}" pid="27" name="PAGE">
    <vt:lpwstr/>
  </property>
  <property fmtid="{D5CDD505-2E9C-101B-9397-08002B2CF9AE}" pid="28" name="PADIMAIL">
    <vt:lpwstr>YES</vt:lpwstr>
  </property>
  <property fmtid="{D5CDD505-2E9C-101B-9397-08002B2CF9AE}" pid="29" name="DELEMATA">
    <vt:lpwstr/>
  </property>
  <property fmtid="{D5CDD505-2E9C-101B-9397-08002B2CF9AE}" pid="30" name="LINKK1">
    <vt:lpwstr/>
  </property>
  <property fmtid="{D5CDD505-2E9C-101B-9397-08002B2CF9AE}" pid="31" name="LINKK2">
    <vt:lpwstr/>
  </property>
  <property fmtid="{D5CDD505-2E9C-101B-9397-08002B2CF9AE}" pid="32" name="LINKK3">
    <vt:lpwstr/>
  </property>
  <property fmtid="{D5CDD505-2E9C-101B-9397-08002B2CF9AE}" pid="33" name="LINKK4">
    <vt:lpwstr/>
  </property>
  <property fmtid="{D5CDD505-2E9C-101B-9397-08002B2CF9AE}" pid="34" name="LINKK5">
    <vt:lpwstr/>
  </property>
  <property fmtid="{D5CDD505-2E9C-101B-9397-08002B2CF9AE}" pid="35" name="METAKZER">
    <vt:lpwstr>פאני</vt:lpwstr>
  </property>
  <property fmtid="{D5CDD505-2E9C-101B-9397-08002B2CF9AE}" pid="36" name="NOSE11">
    <vt:lpwstr>עבודה</vt:lpwstr>
  </property>
  <property fmtid="{D5CDD505-2E9C-101B-9397-08002B2CF9AE}" pid="37" name="NOSE21">
    <vt:lpwstr>פיטורין</vt:lpwstr>
  </property>
  <property fmtid="{D5CDD505-2E9C-101B-9397-08002B2CF9AE}" pid="38" name="NOSE31">
    <vt:lpwstr>פיצויי פיטורין</vt:lpwstr>
  </property>
  <property fmtid="{D5CDD505-2E9C-101B-9397-08002B2CF9AE}" pid="39" name="NOSE12">
    <vt:lpwstr>עבודה</vt:lpwstr>
  </property>
  <property fmtid="{D5CDD505-2E9C-101B-9397-08002B2CF9AE}" pid="40" name="NOSE22">
    <vt:lpwstr>פיצויי פיטורין</vt:lpwstr>
  </property>
  <property fmtid="{D5CDD505-2E9C-101B-9397-08002B2CF9AE}" pid="41" name="NOSE32">
    <vt:lpwstr>זכות לפיצויים</vt:lpwstr>
  </property>
  <property fmtid="{D5CDD505-2E9C-101B-9397-08002B2CF9AE}" pid="42" name="NOSE13">
    <vt:lpwstr>עבודה</vt:lpwstr>
  </property>
  <property fmtid="{D5CDD505-2E9C-101B-9397-08002B2CF9AE}" pid="43" name="NOSE23">
    <vt:lpwstr>פיצויי פיטורין</vt:lpwstr>
  </property>
  <property fmtid="{D5CDD505-2E9C-101B-9397-08002B2CF9AE}" pid="44" name="NOSE33">
    <vt:lpwstr>זכאות</vt:lpwstr>
  </property>
  <property fmtid="{D5CDD505-2E9C-101B-9397-08002B2CF9AE}" pid="45" name="NOSE14">
    <vt:lpwstr>עבודה</vt:lpwstr>
  </property>
  <property fmtid="{D5CDD505-2E9C-101B-9397-08002B2CF9AE}" pid="46" name="NOSE24">
    <vt:lpwstr>פיצויי פיטורין</vt:lpwstr>
  </property>
  <property fmtid="{D5CDD505-2E9C-101B-9397-08002B2CF9AE}" pid="47" name="NOSE34">
    <vt:lpwstr>שלילתם</vt:lpwstr>
  </property>
  <property fmtid="{D5CDD505-2E9C-101B-9397-08002B2CF9AE}" pid="48" name="NOSE15">
    <vt:lpwstr>עבודה</vt:lpwstr>
  </property>
  <property fmtid="{D5CDD505-2E9C-101B-9397-08002B2CF9AE}" pid="49" name="NOSE25">
    <vt:lpwstr>פיצויי פיטורין</vt:lpwstr>
  </property>
  <property fmtid="{D5CDD505-2E9C-101B-9397-08002B2CF9AE}" pid="50" name="NOSE35">
    <vt:lpwstr>פיצויי הלנה</vt:lpwstr>
  </property>
  <property fmtid="{D5CDD505-2E9C-101B-9397-08002B2CF9AE}" pid="51" name="NOSE16">
    <vt:lpwstr>עבודה</vt:lpwstr>
  </property>
  <property fmtid="{D5CDD505-2E9C-101B-9397-08002B2CF9AE}" pid="52" name="NOSE26">
    <vt:lpwstr>חוזה עבודה</vt:lpwstr>
  </property>
  <property fmtid="{D5CDD505-2E9C-101B-9397-08002B2CF9AE}" pid="53" name="NOSE36">
    <vt:lpwstr>שינוי בפועל</vt:lpwstr>
  </property>
  <property fmtid="{D5CDD505-2E9C-101B-9397-08002B2CF9AE}" pid="54" name="NOSE17">
    <vt:lpwstr>עבודה</vt:lpwstr>
  </property>
  <property fmtid="{D5CDD505-2E9C-101B-9397-08002B2CF9AE}" pid="55" name="NOSE27">
    <vt:lpwstr>חוזה עבודה</vt:lpwstr>
  </property>
  <property fmtid="{D5CDD505-2E9C-101B-9397-08002B2CF9AE}" pid="56" name="NOSE37">
    <vt:lpwstr>הסכם קיבוצי</vt:lpwstr>
  </property>
  <property fmtid="{D5CDD505-2E9C-101B-9397-08002B2CF9AE}" pid="57" name="NOSE18">
    <vt:lpwstr/>
  </property>
  <property fmtid="{D5CDD505-2E9C-101B-9397-08002B2CF9AE}" pid="58" name="NOSE28">
    <vt:lpwstr/>
  </property>
  <property fmtid="{D5CDD505-2E9C-101B-9397-08002B2CF9AE}" pid="59" name="NOSE38">
    <vt:lpwstr/>
  </property>
  <property fmtid="{D5CDD505-2E9C-101B-9397-08002B2CF9AE}" pid="60" name="NOSE19">
    <vt:lpwstr/>
  </property>
  <property fmtid="{D5CDD505-2E9C-101B-9397-08002B2CF9AE}" pid="61" name="NOSE29">
    <vt:lpwstr/>
  </property>
  <property fmtid="{D5CDD505-2E9C-101B-9397-08002B2CF9AE}" pid="62" name="NOSE39">
    <vt:lpwstr/>
  </property>
  <property fmtid="{D5CDD505-2E9C-101B-9397-08002B2CF9AE}" pid="63" name="NOSE110">
    <vt:lpwstr/>
  </property>
  <property fmtid="{D5CDD505-2E9C-101B-9397-08002B2CF9AE}" pid="64" name="NOSE210">
    <vt:lpwstr/>
  </property>
  <property fmtid="{D5CDD505-2E9C-101B-9397-08002B2CF9AE}" pid="65" name="NOSE310">
    <vt:lpwstr/>
  </property>
  <property fmtid="{D5CDD505-2E9C-101B-9397-08002B2CF9AE}" pid="66" name="PadiDate">
    <vt:lpwstr>20120703</vt:lpwstr>
  </property>
</Properties>
</file>