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000"/>
      </w:tblPr>
      <w:tblGrid>
        <w:gridCol w:w="5047"/>
        <w:gridCol w:w="3674"/>
      </w:tblGrid>
      <w:tr w:rsidR="00451763" w:rsidRPr="007B0190">
        <w:trPr>
          <w:trHeight w:hRule="exact" w:val="418"/>
          <w:jc w:val="center"/>
        </w:trPr>
        <w:tc>
          <w:tcPr>
            <w:tcW w:w="8721" w:type="dxa"/>
            <w:gridSpan w:val="2"/>
          </w:tcPr>
          <w:p w:rsidR="00451763" w:rsidRPr="007B0190" w:rsidRDefault="007B0190">
            <w:pPr>
              <w:pStyle w:val="a4"/>
              <w:jc w:val="center"/>
              <w:rPr>
                <w:rFonts w:ascii="Tahoma" w:hAnsi="Tahoma" w:cs="Tahoma"/>
                <w:color w:val="000080"/>
                <w:rtl/>
              </w:rPr>
            </w:pPr>
            <w:bookmarkStart w:id="0" w:name="LastJudge"/>
            <w:r w:rsidRPr="007B0190">
              <w:rPr>
                <w:rFonts w:ascii="Tahoma" w:hAnsi="Tahoma" w:cs="Tahoma"/>
                <w:b/>
                <w:bCs/>
                <w:color w:val="000080"/>
                <w:rtl/>
              </w:rPr>
              <w:t>בית משפט השלום בירושלים</w:t>
            </w:r>
          </w:p>
        </w:tc>
      </w:tr>
      <w:tr w:rsidR="00451763" w:rsidRPr="007B0190">
        <w:trPr>
          <w:trHeight w:val="337"/>
          <w:jc w:val="center"/>
        </w:trPr>
        <w:tc>
          <w:tcPr>
            <w:tcW w:w="5047" w:type="dxa"/>
          </w:tcPr>
          <w:p w:rsidR="00451763" w:rsidRPr="007B0190" w:rsidRDefault="00451763">
            <w:pPr>
              <w:rPr>
                <w:b/>
                <w:bCs/>
                <w:sz w:val="26"/>
                <w:szCs w:val="26"/>
                <w:rtl/>
              </w:rPr>
            </w:pPr>
          </w:p>
        </w:tc>
        <w:tc>
          <w:tcPr>
            <w:tcW w:w="3674" w:type="dxa"/>
          </w:tcPr>
          <w:p w:rsidR="00451763" w:rsidRPr="007B0190" w:rsidRDefault="00451763">
            <w:pPr>
              <w:pStyle w:val="a4"/>
              <w:jc w:val="right"/>
              <w:rPr>
                <w:b/>
                <w:bCs/>
                <w:sz w:val="26"/>
                <w:szCs w:val="26"/>
                <w:rtl/>
              </w:rPr>
            </w:pPr>
          </w:p>
        </w:tc>
      </w:tr>
      <w:tr w:rsidR="00451763" w:rsidRPr="007B0190">
        <w:trPr>
          <w:trHeight w:val="337"/>
          <w:jc w:val="center"/>
        </w:trPr>
        <w:tc>
          <w:tcPr>
            <w:tcW w:w="8721" w:type="dxa"/>
            <w:gridSpan w:val="2"/>
          </w:tcPr>
          <w:p w:rsidR="00451763" w:rsidRPr="007B0190" w:rsidRDefault="007B0190">
            <w:pPr>
              <w:rPr>
                <w:b/>
                <w:bCs/>
                <w:sz w:val="26"/>
                <w:szCs w:val="26"/>
                <w:rtl/>
              </w:rPr>
            </w:pPr>
            <w:r w:rsidRPr="007B0190">
              <w:rPr>
                <w:b/>
                <w:bCs/>
                <w:sz w:val="26"/>
                <w:szCs w:val="26"/>
                <w:rtl/>
              </w:rPr>
              <w:t>ת"א 7085-09 לדווין יצחק נ' אטיה</w:t>
            </w:r>
          </w:p>
          <w:p w:rsidR="00451763" w:rsidRPr="007B0190" w:rsidRDefault="00451763">
            <w:pPr>
              <w:rPr>
                <w:rtl/>
              </w:rPr>
            </w:pPr>
          </w:p>
        </w:tc>
      </w:tr>
    </w:tbl>
    <w:p w:rsidR="00451763" w:rsidRPr="007B0190" w:rsidRDefault="007B0190">
      <w:pPr>
        <w:pStyle w:val="a4"/>
        <w:rPr>
          <w:rtl/>
        </w:rPr>
      </w:pPr>
      <w:r w:rsidRPr="007B0190">
        <w:rPr>
          <w:rtl/>
        </w:rPr>
        <w:t xml:space="preserve"> </w:t>
      </w:r>
    </w:p>
    <w:p w:rsidR="00451763" w:rsidRPr="007B0190" w:rsidRDefault="00451763">
      <w:pPr>
        <w:suppressLineNumbers/>
        <w:rPr>
          <w:rtl/>
        </w:rPr>
      </w:pPr>
    </w:p>
    <w:tbl>
      <w:tblPr>
        <w:tblStyle w:val="a6"/>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3"/>
        <w:gridCol w:w="2506"/>
        <w:gridCol w:w="1800"/>
        <w:gridCol w:w="3771"/>
      </w:tblGrid>
      <w:tr w:rsidR="00451763" w:rsidRPr="007B0190">
        <w:trPr>
          <w:gridAfter w:val="1"/>
          <w:wAfter w:w="3771" w:type="dxa"/>
          <w:trHeight w:val="295"/>
          <w:jc w:val="center"/>
        </w:trPr>
        <w:tc>
          <w:tcPr>
            <w:tcW w:w="5049" w:type="dxa"/>
            <w:gridSpan w:val="3"/>
          </w:tcPr>
          <w:p w:rsidR="00451763" w:rsidRPr="007B0190" w:rsidRDefault="00451763">
            <w:pPr>
              <w:rPr>
                <w:rFonts w:ascii="Arial" w:hAnsi="Arial"/>
                <w:b/>
                <w:bCs/>
                <w:sz w:val="26"/>
                <w:szCs w:val="26"/>
                <w:rtl/>
              </w:rPr>
            </w:pPr>
          </w:p>
        </w:tc>
      </w:tr>
      <w:tr w:rsidR="00451763" w:rsidRPr="007B0190">
        <w:trPr>
          <w:jc w:val="center"/>
        </w:trPr>
        <w:tc>
          <w:tcPr>
            <w:tcW w:w="743" w:type="dxa"/>
          </w:tcPr>
          <w:p w:rsidR="00451763" w:rsidRPr="007B0190" w:rsidRDefault="007B0190">
            <w:pPr>
              <w:jc w:val="both"/>
              <w:rPr>
                <w:rFonts w:ascii="Arial" w:hAnsi="Arial"/>
                <w:b/>
                <w:bCs/>
              </w:rPr>
            </w:pPr>
            <w:r w:rsidRPr="007B0190">
              <w:rPr>
                <w:rFonts w:ascii="Arial" w:hAnsi="Arial" w:hint="cs"/>
                <w:b/>
                <w:bCs/>
                <w:rtl/>
              </w:rPr>
              <w:t>ב</w:t>
            </w:r>
            <w:r w:rsidRPr="007B0190">
              <w:rPr>
                <w:rFonts w:ascii="Arial" w:hAnsi="Arial"/>
                <w:b/>
                <w:bCs/>
                <w:rtl/>
              </w:rPr>
              <w:t xml:space="preserve">פני </w:t>
            </w:r>
          </w:p>
        </w:tc>
        <w:tc>
          <w:tcPr>
            <w:tcW w:w="8077" w:type="dxa"/>
            <w:gridSpan w:val="3"/>
          </w:tcPr>
          <w:p w:rsidR="00451763" w:rsidRPr="007B0190" w:rsidRDefault="007B0190">
            <w:pPr>
              <w:rPr>
                <w:rFonts w:ascii="Arial" w:hAnsi="Arial"/>
                <w:b/>
                <w:bCs/>
                <w:rtl/>
              </w:rPr>
            </w:pPr>
            <w:r w:rsidRPr="007B0190">
              <w:rPr>
                <w:rFonts w:ascii="Arial" w:hAnsi="Arial" w:hint="cs"/>
                <w:b/>
                <w:bCs/>
                <w:rtl/>
              </w:rPr>
              <w:t>כב' ה</w:t>
            </w:r>
            <w:r w:rsidRPr="007B0190">
              <w:rPr>
                <w:rFonts w:ascii="Arial" w:hAnsi="Arial"/>
                <w:b/>
                <w:bCs/>
                <w:rtl/>
              </w:rPr>
              <w:t>שופט</w:t>
            </w:r>
            <w:r w:rsidRPr="007B0190">
              <w:rPr>
                <w:rFonts w:ascii="Arial" w:hAnsi="Arial" w:hint="cs"/>
                <w:b/>
                <w:bCs/>
                <w:rtl/>
              </w:rPr>
              <w:t xml:space="preserve">  </w:t>
            </w:r>
            <w:r w:rsidRPr="007B0190">
              <w:rPr>
                <w:rFonts w:ascii="Arial" w:hAnsi="Arial"/>
                <w:b/>
                <w:bCs/>
                <w:rtl/>
              </w:rPr>
              <w:t>משה ברעם</w:t>
            </w:r>
          </w:p>
          <w:p w:rsidR="00451763" w:rsidRPr="007B0190" w:rsidRDefault="00451763">
            <w:pPr>
              <w:rPr>
                <w:rFonts w:ascii="Arial" w:hAnsi="Arial" w:cs="FrankRuehl"/>
                <w:sz w:val="28"/>
                <w:szCs w:val="28"/>
                <w:highlight w:val="yellow"/>
              </w:rPr>
            </w:pPr>
          </w:p>
        </w:tc>
      </w:tr>
      <w:tr w:rsidR="00451763" w:rsidRPr="007B0190">
        <w:trPr>
          <w:jc w:val="center"/>
        </w:trPr>
        <w:tc>
          <w:tcPr>
            <w:tcW w:w="3249" w:type="dxa"/>
            <w:gridSpan w:val="2"/>
          </w:tcPr>
          <w:p w:rsidR="00451763" w:rsidRPr="007B0190" w:rsidRDefault="00451763">
            <w:pPr>
              <w:bidi w:val="0"/>
              <w:jc w:val="right"/>
              <w:rPr>
                <w:rFonts w:ascii="Arial" w:hAnsi="Arial"/>
                <w:b/>
                <w:bCs/>
                <w:sz w:val="26"/>
                <w:szCs w:val="26"/>
              </w:rPr>
            </w:pPr>
            <w:bookmarkStart w:id="1" w:name="FirstAppellant"/>
          </w:p>
          <w:p w:rsidR="00451763" w:rsidRPr="007B0190" w:rsidRDefault="007B0190">
            <w:pPr>
              <w:bidi w:val="0"/>
              <w:jc w:val="right"/>
              <w:rPr>
                <w:rFonts w:ascii="Arial" w:hAnsi="Arial"/>
                <w:b/>
                <w:bCs/>
                <w:sz w:val="26"/>
                <w:szCs w:val="26"/>
                <w:rtl/>
              </w:rPr>
            </w:pPr>
            <w:r w:rsidRPr="007B0190">
              <w:rPr>
                <w:rFonts w:ascii="Arial" w:hAnsi="Arial" w:hint="cs"/>
                <w:b/>
                <w:bCs/>
                <w:sz w:val="26"/>
                <w:szCs w:val="26"/>
                <w:rtl/>
              </w:rPr>
              <w:t>התובע</w:t>
            </w:r>
          </w:p>
        </w:tc>
        <w:tc>
          <w:tcPr>
            <w:tcW w:w="5571" w:type="dxa"/>
            <w:gridSpan w:val="2"/>
          </w:tcPr>
          <w:p w:rsidR="00451763" w:rsidRPr="007B0190" w:rsidRDefault="00451763">
            <w:pPr>
              <w:rPr>
                <w:rFonts w:ascii="Arial" w:hAnsi="Arial"/>
                <w:b/>
                <w:bCs/>
                <w:sz w:val="26"/>
                <w:szCs w:val="26"/>
              </w:rPr>
            </w:pPr>
          </w:p>
          <w:p w:rsidR="00451763" w:rsidRPr="007B0190" w:rsidRDefault="007B0190">
            <w:pPr>
              <w:rPr>
                <w:b/>
                <w:bCs/>
                <w:sz w:val="26"/>
                <w:szCs w:val="26"/>
              </w:rPr>
            </w:pPr>
            <w:r w:rsidRPr="007B0190">
              <w:rPr>
                <w:rFonts w:ascii="Arial" w:hAnsi="Arial"/>
                <w:b/>
                <w:bCs/>
                <w:sz w:val="26"/>
                <w:szCs w:val="26"/>
                <w:rtl/>
              </w:rPr>
              <w:t>דוד לדווין יצחק</w:t>
            </w:r>
          </w:p>
        </w:tc>
      </w:tr>
      <w:bookmarkEnd w:id="1"/>
      <w:tr w:rsidR="00451763" w:rsidRPr="007B0190">
        <w:trPr>
          <w:jc w:val="center"/>
        </w:trPr>
        <w:tc>
          <w:tcPr>
            <w:tcW w:w="8820" w:type="dxa"/>
            <w:gridSpan w:val="4"/>
          </w:tcPr>
          <w:p w:rsidR="00451763" w:rsidRPr="007B0190" w:rsidRDefault="00451763">
            <w:pPr>
              <w:rPr>
                <w:rFonts w:ascii="Arial" w:hAnsi="Arial"/>
                <w:b/>
                <w:bCs/>
                <w:sz w:val="26"/>
                <w:szCs w:val="26"/>
                <w:rtl/>
              </w:rPr>
            </w:pPr>
          </w:p>
          <w:p w:rsidR="00451763" w:rsidRPr="007B0190" w:rsidRDefault="007B0190">
            <w:pPr>
              <w:jc w:val="center"/>
              <w:rPr>
                <w:rFonts w:ascii="Arial" w:hAnsi="Arial"/>
                <w:b/>
                <w:bCs/>
                <w:sz w:val="26"/>
                <w:szCs w:val="26"/>
                <w:rtl/>
              </w:rPr>
            </w:pPr>
            <w:r w:rsidRPr="007B0190">
              <w:rPr>
                <w:rFonts w:ascii="Arial" w:hAnsi="Arial"/>
                <w:b/>
                <w:bCs/>
                <w:sz w:val="26"/>
                <w:szCs w:val="26"/>
                <w:rtl/>
              </w:rPr>
              <w:t>נגד</w:t>
            </w:r>
          </w:p>
          <w:p w:rsidR="00451763" w:rsidRPr="007B0190" w:rsidRDefault="00451763">
            <w:pPr>
              <w:rPr>
                <w:rFonts w:ascii="Arial" w:hAnsi="Arial"/>
                <w:b/>
                <w:bCs/>
                <w:sz w:val="26"/>
                <w:szCs w:val="26"/>
              </w:rPr>
            </w:pPr>
          </w:p>
        </w:tc>
      </w:tr>
      <w:tr w:rsidR="00451763" w:rsidRPr="007B0190">
        <w:trPr>
          <w:jc w:val="center"/>
        </w:trPr>
        <w:tc>
          <w:tcPr>
            <w:tcW w:w="3249" w:type="dxa"/>
            <w:gridSpan w:val="2"/>
          </w:tcPr>
          <w:p w:rsidR="00451763" w:rsidRPr="007B0190" w:rsidRDefault="00451763">
            <w:pPr>
              <w:rPr>
                <w:rFonts w:ascii="Arial" w:hAnsi="Arial"/>
                <w:b/>
                <w:bCs/>
                <w:sz w:val="26"/>
                <w:szCs w:val="26"/>
                <w:rtl/>
              </w:rPr>
            </w:pPr>
          </w:p>
          <w:p w:rsidR="00451763" w:rsidRPr="007B0190" w:rsidRDefault="007B0190">
            <w:pPr>
              <w:rPr>
                <w:rFonts w:ascii="Arial" w:hAnsi="Arial"/>
                <w:b/>
                <w:bCs/>
                <w:sz w:val="26"/>
                <w:szCs w:val="26"/>
              </w:rPr>
            </w:pPr>
            <w:r w:rsidRPr="007B0190">
              <w:rPr>
                <w:rFonts w:ascii="Arial" w:hAnsi="Arial" w:hint="cs"/>
                <w:b/>
                <w:bCs/>
                <w:sz w:val="26"/>
                <w:szCs w:val="26"/>
                <w:rtl/>
              </w:rPr>
              <w:t>הנתבע</w:t>
            </w:r>
          </w:p>
        </w:tc>
        <w:tc>
          <w:tcPr>
            <w:tcW w:w="5571" w:type="dxa"/>
            <w:gridSpan w:val="2"/>
          </w:tcPr>
          <w:p w:rsidR="00451763" w:rsidRPr="007B0190" w:rsidRDefault="00451763">
            <w:pPr>
              <w:rPr>
                <w:rFonts w:ascii="Arial" w:hAnsi="Arial"/>
                <w:b/>
                <w:bCs/>
                <w:sz w:val="26"/>
                <w:szCs w:val="26"/>
                <w:rtl/>
              </w:rPr>
            </w:pPr>
          </w:p>
          <w:p w:rsidR="00451763" w:rsidRPr="007B0190" w:rsidRDefault="007B0190">
            <w:pPr>
              <w:rPr>
                <w:b/>
                <w:bCs/>
                <w:sz w:val="26"/>
                <w:szCs w:val="26"/>
                <w:rtl/>
              </w:rPr>
            </w:pPr>
            <w:r w:rsidRPr="007B0190">
              <w:rPr>
                <w:rFonts w:ascii="Arial" w:hAnsi="Arial"/>
                <w:b/>
                <w:bCs/>
                <w:sz w:val="26"/>
                <w:szCs w:val="26"/>
                <w:rtl/>
              </w:rPr>
              <w:t>דוד אטיה</w:t>
            </w:r>
          </w:p>
        </w:tc>
      </w:tr>
    </w:tbl>
    <w:p w:rsidR="00451763" w:rsidRPr="007B0190" w:rsidRDefault="00451763">
      <w:pPr>
        <w:suppressLineNumbers/>
      </w:pPr>
    </w:p>
    <w:p w:rsidR="00451763" w:rsidRPr="007B0190" w:rsidRDefault="00451763">
      <w:pPr>
        <w:suppressLineNumbers/>
      </w:pPr>
    </w:p>
    <w:tbl>
      <w:tblPr>
        <w:tblStyle w:val="a6"/>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0"/>
      </w:tblGrid>
      <w:tr w:rsidR="00451763">
        <w:trPr>
          <w:jc w:val="center"/>
        </w:trPr>
        <w:tc>
          <w:tcPr>
            <w:tcW w:w="8820" w:type="dxa"/>
          </w:tcPr>
          <w:p w:rsidR="007B0190" w:rsidRPr="007B0190" w:rsidRDefault="007B0190" w:rsidP="007B0190">
            <w:pPr>
              <w:bidi w:val="0"/>
              <w:jc w:val="center"/>
              <w:rPr>
                <w:rFonts w:ascii="Arial" w:hAnsi="Arial"/>
                <w:b/>
                <w:bCs/>
                <w:sz w:val="28"/>
                <w:szCs w:val="28"/>
                <w:u w:val="single"/>
                <w:rtl/>
              </w:rPr>
            </w:pPr>
            <w:bookmarkStart w:id="2" w:name="PsakDin" w:colFirst="0" w:colLast="0"/>
            <w:bookmarkEnd w:id="0"/>
            <w:r w:rsidRPr="007B0190">
              <w:rPr>
                <w:rFonts w:ascii="Arial" w:hAnsi="Arial"/>
                <w:b/>
                <w:bCs/>
                <w:sz w:val="28"/>
                <w:szCs w:val="28"/>
                <w:u w:val="single"/>
                <w:rtl/>
              </w:rPr>
              <w:t>פסק דין</w:t>
            </w:r>
          </w:p>
          <w:p w:rsidR="00451763" w:rsidRPr="007B0190" w:rsidRDefault="00451763" w:rsidP="007B0190">
            <w:pPr>
              <w:bidi w:val="0"/>
              <w:jc w:val="center"/>
              <w:rPr>
                <w:rFonts w:ascii="Arial" w:hAnsi="Arial"/>
                <w:b/>
                <w:bCs/>
                <w:sz w:val="28"/>
                <w:szCs w:val="28"/>
                <w:u w:val="single"/>
              </w:rPr>
            </w:pPr>
          </w:p>
        </w:tc>
      </w:tr>
      <w:bookmarkEnd w:id="2"/>
    </w:tbl>
    <w:p w:rsidR="00451763" w:rsidRDefault="00451763">
      <w:pPr>
        <w:spacing w:line="360" w:lineRule="auto"/>
        <w:jc w:val="both"/>
        <w:rPr>
          <w:rFonts w:ascii="Arial" w:hAnsi="Arial"/>
          <w:rtl/>
        </w:rPr>
      </w:pPr>
    </w:p>
    <w:p w:rsidR="00451763" w:rsidRDefault="00451763">
      <w:pPr>
        <w:spacing w:line="360" w:lineRule="auto"/>
        <w:jc w:val="both"/>
        <w:rPr>
          <w:rtl/>
        </w:rPr>
      </w:pPr>
      <w:bookmarkStart w:id="3" w:name="צד_ג"/>
    </w:p>
    <w:bookmarkEnd w:id="3"/>
    <w:p w:rsidR="007B0190" w:rsidRPr="007B0190" w:rsidRDefault="007B0190">
      <w:pPr>
        <w:pStyle w:val="a8"/>
        <w:jc w:val="both"/>
        <w:rPr>
          <w:rFonts w:hint="cs"/>
          <w:color w:val="FFFFFF"/>
          <w:sz w:val="2"/>
          <w:szCs w:val="2"/>
          <w:rtl/>
        </w:rPr>
      </w:pPr>
    </w:p>
    <w:p w:rsidR="007B0190" w:rsidRPr="007B0190" w:rsidRDefault="007B0190">
      <w:pPr>
        <w:pStyle w:val="a8"/>
        <w:jc w:val="both"/>
        <w:rPr>
          <w:rFonts w:hint="cs"/>
          <w:color w:val="FFFFFF"/>
          <w:sz w:val="2"/>
          <w:szCs w:val="2"/>
          <w:rtl/>
        </w:rPr>
      </w:pPr>
      <w:r w:rsidRPr="007B0190">
        <w:rPr>
          <w:color w:val="FFFFFF"/>
          <w:sz w:val="2"/>
          <w:szCs w:val="2"/>
          <w:rtl/>
        </w:rPr>
        <w:t>5129371</w:t>
      </w:r>
    </w:p>
    <w:p w:rsidR="007B0190" w:rsidRPr="007B0190" w:rsidRDefault="007B0190" w:rsidP="007B0190">
      <w:pPr>
        <w:pStyle w:val="a8"/>
        <w:keepNext/>
        <w:rPr>
          <w:rFonts w:ascii="David" w:hAnsi="David"/>
          <w:color w:val="000000"/>
          <w:sz w:val="22"/>
          <w:szCs w:val="22"/>
          <w:rtl/>
        </w:rPr>
      </w:pPr>
    </w:p>
    <w:p w:rsidR="007B0190" w:rsidRPr="007B0190" w:rsidRDefault="007B0190" w:rsidP="007B0190">
      <w:pPr>
        <w:pStyle w:val="a8"/>
        <w:keepNext/>
        <w:rPr>
          <w:rFonts w:ascii="David" w:hAnsi="David"/>
          <w:color w:val="000000"/>
          <w:sz w:val="22"/>
          <w:szCs w:val="22"/>
          <w:rtl/>
        </w:rPr>
      </w:pPr>
      <w:r w:rsidRPr="007B0190">
        <w:rPr>
          <w:rFonts w:ascii="David" w:hAnsi="David"/>
          <w:color w:val="000000"/>
          <w:sz w:val="22"/>
          <w:szCs w:val="22"/>
          <w:rtl/>
        </w:rPr>
        <w:t>משה ברעם 54678313</w:t>
      </w:r>
    </w:p>
    <w:p w:rsidR="00451763" w:rsidRDefault="007B0190">
      <w:pPr>
        <w:pStyle w:val="a8"/>
        <w:jc w:val="both"/>
        <w:rPr>
          <w:sz w:val="24"/>
          <w:szCs w:val="24"/>
          <w:rtl/>
        </w:rPr>
      </w:pPr>
      <w:r w:rsidRPr="007B0190">
        <w:rPr>
          <w:color w:val="FFFFFF"/>
          <w:sz w:val="2"/>
          <w:szCs w:val="2"/>
          <w:rtl/>
        </w:rPr>
        <w:t>54678313</w:t>
      </w:r>
      <w:r>
        <w:rPr>
          <w:rFonts w:hint="cs"/>
          <w:sz w:val="24"/>
          <w:szCs w:val="24"/>
          <w:rtl/>
        </w:rPr>
        <w:t>בהמשך להחלטתי מיום 16/9/2010 ועל יסוד הסכמת הצדדים למתן פסק דין בפשרה, על פי הקבוע בסעיף 79א(א) ל</w:t>
      </w:r>
      <w:hyperlink r:id="rId6" w:history="1">
        <w:r w:rsidRPr="007B0190">
          <w:rPr>
            <w:color w:val="0000FF"/>
            <w:sz w:val="24"/>
            <w:szCs w:val="24"/>
            <w:u w:val="single"/>
            <w:rtl/>
          </w:rPr>
          <w:t>חוק בתי המשפט [נוסח משולב]</w:t>
        </w:r>
      </w:hyperlink>
      <w:r>
        <w:rPr>
          <w:rFonts w:hint="cs"/>
          <w:sz w:val="24"/>
          <w:szCs w:val="24"/>
          <w:rtl/>
        </w:rPr>
        <w:t xml:space="preserve">, התשמ"ד </w:t>
      </w:r>
      <w:r>
        <w:rPr>
          <w:sz w:val="24"/>
          <w:szCs w:val="24"/>
          <w:rtl/>
        </w:rPr>
        <w:t>–</w:t>
      </w:r>
      <w:r>
        <w:rPr>
          <w:rFonts w:hint="cs"/>
          <w:sz w:val="24"/>
          <w:szCs w:val="24"/>
          <w:rtl/>
        </w:rPr>
        <w:t xml:space="preserve"> 1984, ללא נימוקים ולאחר שבחנתי את כתבי הטענות על נספחיהם, התרשמתי מתקליטור שצורף לסיכומי התובע, המתעד את נסיבות האירוע, שקלתי את כל השיקולים הרלוונטים, המשפטיים והעובדתיים, הערכתי את הסיכונים והסיכויים של כל אחד מהם, התחשבתי בשיקולי צדק, הוגנות וסבירות, כמו גם בעצם מתן ההסכמה לפסיקה בפשרה, הנני מחייב את  הנתבע, לשלם לתובע, סך של 10,000 ₪,</w:t>
      </w:r>
      <w:r>
        <w:rPr>
          <w:rFonts w:hint="cs"/>
          <w:b/>
          <w:bCs/>
          <w:sz w:val="24"/>
          <w:szCs w:val="24"/>
          <w:rtl/>
        </w:rPr>
        <w:t xml:space="preserve"> נוסף</w:t>
      </w:r>
      <w:r>
        <w:rPr>
          <w:rFonts w:hint="cs"/>
          <w:sz w:val="24"/>
          <w:szCs w:val="24"/>
          <w:rtl/>
        </w:rPr>
        <w:t xml:space="preserve"> על הפיצוי בסך 1,500 ₪, שנפסקו לתובע (המתלונן) בהליך הפלילי ובתוך 30 יום.</w:t>
      </w:r>
    </w:p>
    <w:p w:rsidR="00451763" w:rsidRDefault="00451763">
      <w:pPr>
        <w:pStyle w:val="a8"/>
        <w:jc w:val="both"/>
        <w:rPr>
          <w:sz w:val="24"/>
          <w:szCs w:val="24"/>
          <w:rtl/>
        </w:rPr>
      </w:pPr>
    </w:p>
    <w:p w:rsidR="00451763" w:rsidRDefault="007B0190">
      <w:pPr>
        <w:spacing w:line="360" w:lineRule="auto"/>
        <w:jc w:val="both"/>
        <w:rPr>
          <w:rtl/>
        </w:rPr>
      </w:pPr>
      <w:r>
        <w:rPr>
          <w:rFonts w:hint="cs"/>
          <w:rtl/>
        </w:rPr>
        <w:t>בנסיבות העניין , משפסק הדין ניתן בפשרה ולנוכח תוצאת פסק הדין, לא יעשה צו להוצאות</w:t>
      </w:r>
    </w:p>
    <w:p w:rsidR="00451763" w:rsidRDefault="00451763">
      <w:pPr>
        <w:spacing w:line="360" w:lineRule="auto"/>
        <w:jc w:val="both"/>
        <w:rPr>
          <w:rtl/>
        </w:rPr>
      </w:pPr>
    </w:p>
    <w:p w:rsidR="00451763" w:rsidRDefault="007B0190">
      <w:pPr>
        <w:spacing w:line="360" w:lineRule="auto"/>
        <w:jc w:val="both"/>
        <w:rPr>
          <w:rFonts w:ascii="Arial" w:hAnsi="Arial"/>
          <w:rtl/>
        </w:rPr>
      </w:pPr>
      <w:r>
        <w:rPr>
          <w:rFonts w:ascii="Arial" w:hAnsi="Arial"/>
          <w:rtl/>
        </w:rPr>
        <w:t xml:space="preserve">ניתן היום,  י"ט טבת תשע"א, 26 דצמבר 2010, בהעדר הצדדים. </w:t>
      </w:r>
    </w:p>
    <w:p w:rsidR="00451763" w:rsidRDefault="007B0190">
      <w:pPr>
        <w:spacing w:line="360" w:lineRule="auto"/>
        <w:jc w:val="both"/>
        <w:rPr>
          <w:rtl/>
        </w:rPr>
      </w:pPr>
      <w:r>
        <w:rPr>
          <w:rtl/>
        </w:rPr>
        <w:t xml:space="preserve">             </w:t>
      </w:r>
    </w:p>
    <w:p w:rsidR="007B0190" w:rsidRDefault="007B0190" w:rsidP="007B0190">
      <w:r w:rsidRPr="007B0190">
        <w:rPr>
          <w:color w:val="000000"/>
          <w:rtl/>
        </w:rPr>
        <w:t>נוסח מסמך זה כפוף לשינויי ניסוח ועריכה</w:t>
      </w:r>
    </w:p>
    <w:p w:rsidR="007B0190" w:rsidRDefault="007B0190" w:rsidP="007B0190">
      <w:pPr>
        <w:rPr>
          <w:rtl/>
        </w:rPr>
      </w:pPr>
    </w:p>
    <w:p w:rsidR="007B0190" w:rsidRDefault="007B0190" w:rsidP="007B0190">
      <w:pPr>
        <w:jc w:val="center"/>
        <w:rPr>
          <w:color w:val="0000FF"/>
          <w:u w:val="single"/>
        </w:rPr>
      </w:pPr>
      <w:hyperlink r:id="rId7" w:history="1">
        <w:r>
          <w:rPr>
            <w:color w:val="0000FF"/>
            <w:u w:val="single"/>
            <w:rtl/>
          </w:rPr>
          <w:t>בעניין עריכה ושינויים במסמכי פסיקה, חקיקה ועוד באתר נבו – הקש כאן</w:t>
        </w:r>
      </w:hyperlink>
    </w:p>
    <w:p w:rsidR="00451763" w:rsidRPr="007B0190" w:rsidRDefault="00451763" w:rsidP="007B0190">
      <w:pPr>
        <w:jc w:val="center"/>
        <w:rPr>
          <w:color w:val="0000FF"/>
          <w:u w:val="single"/>
        </w:rPr>
      </w:pPr>
    </w:p>
    <w:sectPr w:rsidR="00451763" w:rsidRPr="007B0190" w:rsidSect="007B0190">
      <w:headerReference w:type="even" r:id="rId8"/>
      <w:headerReference w:type="default" r:id="rId9"/>
      <w:footerReference w:type="even" r:id="rId10"/>
      <w:footerReference w:type="default" r:id="rId11"/>
      <w:pgSz w:w="11907" w:h="16840" w:code="9"/>
      <w:pgMar w:top="1701" w:right="1701" w:bottom="1134" w:left="1701" w:header="720" w:footer="73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36" w:rsidRPr="007A531B" w:rsidRDefault="00FC5836">
      <w:pPr>
        <w:rPr>
          <w:rFonts w:cs="Arial"/>
          <w:szCs w:val="20"/>
        </w:rPr>
      </w:pPr>
      <w:r>
        <w:separator/>
      </w:r>
    </w:p>
  </w:endnote>
  <w:endnote w:type="continuationSeparator" w:id="1">
    <w:p w:rsidR="00FC5836" w:rsidRPr="007A531B" w:rsidRDefault="00FC5836">
      <w:pPr>
        <w:rPr>
          <w:rFonts w:cs="Arial"/>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90" w:rsidRDefault="007B0190" w:rsidP="007B0190">
    <w:pPr>
      <w:pStyle w:val="a5"/>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noProof/>
        <w:rtl/>
      </w:rPr>
      <w:t>1</w:t>
    </w:r>
    <w:r>
      <w:rPr>
        <w:rFonts w:ascii="FrankRuehl" w:hAnsi="FrankRuehl" w:cs="FrankRuehl"/>
        <w:rtl/>
      </w:rPr>
      <w:fldChar w:fldCharType="end"/>
    </w:r>
  </w:p>
  <w:p w:rsidR="007B0190" w:rsidRPr="007B0190" w:rsidRDefault="00845331" w:rsidP="007B0190">
    <w:pPr>
      <w:pStyle w:val="a5"/>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noProof/>
        <w:color w:val="000000"/>
      </w:rPr>
      <w:drawing>
        <wp:inline distT="0" distB="0" distL="0" distR="0">
          <wp:extent cx="552450" cy="228600"/>
          <wp:effectExtent l="19050" t="0" r="0" b="0"/>
          <wp:docPr id="1" name="תמונה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90" w:rsidRDefault="007B0190" w:rsidP="007B0190">
    <w:pPr>
      <w:pStyle w:val="a5"/>
      <w:jc w:val="center"/>
      <w:rPr>
        <w:rStyle w:val="a7"/>
        <w:rFonts w:ascii="FrankRuehl" w:hAnsi="FrankRuehl" w:cs="FrankRuehl"/>
      </w:rPr>
    </w:pPr>
    <w:r>
      <w:rPr>
        <w:rStyle w:val="a7"/>
        <w:rFonts w:ascii="FrankRuehl" w:hAnsi="FrankRuehl" w:cs="FrankRuehl"/>
        <w:rtl/>
      </w:rPr>
      <w:fldChar w:fldCharType="begin"/>
    </w:r>
    <w:r>
      <w:rPr>
        <w:rStyle w:val="a7"/>
        <w:rFonts w:ascii="FrankRuehl" w:hAnsi="FrankRuehl" w:cs="FrankRuehl"/>
        <w:rtl/>
      </w:rPr>
      <w:instrText xml:space="preserve"> </w:instrText>
    </w:r>
    <w:r>
      <w:rPr>
        <w:rStyle w:val="a7"/>
        <w:rFonts w:ascii="FrankRuehl" w:hAnsi="FrankRuehl" w:cs="FrankRuehl"/>
      </w:rPr>
      <w:instrText>PAGE</w:instrText>
    </w:r>
    <w:r>
      <w:rPr>
        <w:rStyle w:val="a7"/>
        <w:rFonts w:ascii="FrankRuehl" w:hAnsi="FrankRuehl" w:cs="FrankRuehl"/>
        <w:rtl/>
      </w:rPr>
      <w:instrText xml:space="preserve">  \* </w:instrText>
    </w:r>
    <w:r>
      <w:rPr>
        <w:rStyle w:val="a7"/>
        <w:rFonts w:ascii="FrankRuehl" w:hAnsi="FrankRuehl" w:cs="FrankRuehl"/>
      </w:rPr>
      <w:instrText>MERGEFORMAT</w:instrText>
    </w:r>
    <w:r>
      <w:rPr>
        <w:rStyle w:val="a7"/>
        <w:rFonts w:ascii="FrankRuehl" w:hAnsi="FrankRuehl" w:cs="FrankRuehl"/>
        <w:rtl/>
      </w:rPr>
      <w:instrText xml:space="preserve"> </w:instrText>
    </w:r>
    <w:r>
      <w:rPr>
        <w:rStyle w:val="a7"/>
        <w:rFonts w:ascii="FrankRuehl" w:hAnsi="FrankRuehl" w:cs="FrankRuehl"/>
        <w:rtl/>
      </w:rPr>
      <w:fldChar w:fldCharType="separate"/>
    </w:r>
    <w:r w:rsidR="00845331">
      <w:rPr>
        <w:rStyle w:val="a7"/>
        <w:rFonts w:ascii="FrankRuehl" w:hAnsi="FrankRuehl" w:cs="FrankRuehl"/>
        <w:noProof/>
        <w:rtl/>
      </w:rPr>
      <w:t>1</w:t>
    </w:r>
    <w:r>
      <w:rPr>
        <w:rStyle w:val="a7"/>
        <w:rFonts w:ascii="FrankRuehl" w:hAnsi="FrankRuehl" w:cs="FrankRuehl"/>
        <w:rtl/>
      </w:rPr>
      <w:fldChar w:fldCharType="end"/>
    </w:r>
  </w:p>
  <w:p w:rsidR="00451763" w:rsidRPr="007B0190" w:rsidRDefault="00845331" w:rsidP="007B0190">
    <w:pPr>
      <w:pStyle w:val="a5"/>
      <w:pBdr>
        <w:top w:val="single" w:sz="4" w:space="1" w:color="auto"/>
        <w:between w:val="single" w:sz="4" w:space="0" w:color="auto"/>
      </w:pBdr>
      <w:spacing w:after="60"/>
      <w:jc w:val="center"/>
      <w:rPr>
        <w:rStyle w:val="a7"/>
        <w:rFonts w:ascii="FrankRuehl" w:hAnsi="FrankRuehl" w:cs="FrankRuehl"/>
        <w:color w:val="000000"/>
      </w:rPr>
    </w:pPr>
    <w:r>
      <w:rPr>
        <w:rFonts w:ascii="FrankRuehl" w:hAnsi="FrankRuehl" w:cs="FrankRuehl"/>
        <w:noProof/>
        <w:color w:val="000000"/>
      </w:rPr>
      <w:drawing>
        <wp:inline distT="0" distB="0" distL="0" distR="0">
          <wp:extent cx="552450" cy="228600"/>
          <wp:effectExtent l="19050" t="0" r="0" b="0"/>
          <wp:docPr id="2" name="תמונה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36" w:rsidRPr="007A531B" w:rsidRDefault="00FC5836">
      <w:pPr>
        <w:rPr>
          <w:rFonts w:cs="Arial"/>
          <w:szCs w:val="20"/>
        </w:rPr>
      </w:pPr>
      <w:r>
        <w:separator/>
      </w:r>
    </w:p>
  </w:footnote>
  <w:footnote w:type="continuationSeparator" w:id="1">
    <w:p w:rsidR="00FC5836" w:rsidRPr="007A531B" w:rsidRDefault="00FC5836">
      <w:pPr>
        <w:rPr>
          <w:rFonts w:cs="Arial"/>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90" w:rsidRPr="007B0190" w:rsidRDefault="007B0190" w:rsidP="007B0190">
    <w:pPr>
      <w:pStyle w:val="a4"/>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תא (י-ם) 7085-09</w:t>
    </w:r>
    <w:r>
      <w:rPr>
        <w:rFonts w:ascii="David" w:hAnsi="David"/>
        <w:color w:val="000000"/>
        <w:sz w:val="22"/>
        <w:szCs w:val="22"/>
        <w:rtl/>
      </w:rPr>
      <w:tab/>
      <w:t xml:space="preserve"> דוד לדווין יצחק נ' דוד אטיה</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90" w:rsidRPr="007B0190" w:rsidRDefault="007B0190" w:rsidP="007B0190">
    <w:pPr>
      <w:pStyle w:val="a4"/>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תא (י-ם) 7085-09</w:t>
    </w:r>
    <w:r>
      <w:rPr>
        <w:rFonts w:ascii="David" w:hAnsi="David"/>
        <w:color w:val="000000"/>
        <w:sz w:val="22"/>
        <w:szCs w:val="22"/>
        <w:rtl/>
      </w:rPr>
      <w:tab/>
      <w:t xml:space="preserve"> דוד לדווין יצחק נ' דוד אטיה</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MyInfo" w:val="This document was extracted from Nevo's site"/>
  </w:docVars>
  <w:rsids>
    <w:rsidRoot w:val="00451763"/>
    <w:rsid w:val="003A6F1A"/>
    <w:rsid w:val="00451763"/>
    <w:rsid w:val="007B0190"/>
    <w:rsid w:val="00845331"/>
    <w:rsid w:val="008B546D"/>
    <w:rsid w:val="00FC583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763"/>
    <w:pPr>
      <w:bidi/>
    </w:pPr>
    <w:rPr>
      <w:rFonts w:cs="David"/>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line number"/>
    <w:basedOn w:val="a0"/>
    <w:rsid w:val="00451763"/>
  </w:style>
  <w:style w:type="paragraph" w:styleId="a4">
    <w:name w:val="header"/>
    <w:basedOn w:val="a"/>
    <w:rsid w:val="00451763"/>
    <w:pPr>
      <w:tabs>
        <w:tab w:val="center" w:pos="4153"/>
        <w:tab w:val="right" w:pos="8306"/>
      </w:tabs>
    </w:pPr>
  </w:style>
  <w:style w:type="paragraph" w:styleId="a5">
    <w:name w:val="footer"/>
    <w:basedOn w:val="a"/>
    <w:rsid w:val="00451763"/>
    <w:pPr>
      <w:tabs>
        <w:tab w:val="center" w:pos="4153"/>
        <w:tab w:val="right" w:pos="8306"/>
      </w:tabs>
    </w:pPr>
  </w:style>
  <w:style w:type="table" w:styleId="a6">
    <w:name w:val="Table Grid"/>
    <w:basedOn w:val="a1"/>
    <w:rsid w:val="0045176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451763"/>
  </w:style>
  <w:style w:type="paragraph" w:styleId="a8">
    <w:name w:val="Body Text"/>
    <w:basedOn w:val="a"/>
    <w:rsid w:val="00451763"/>
    <w:pPr>
      <w:spacing w:line="360" w:lineRule="auto"/>
    </w:pPr>
    <w:rPr>
      <w:snapToGrid w:val="0"/>
      <w:sz w:val="28"/>
      <w:szCs w:val="28"/>
      <w:lang w:eastAsia="he-IL"/>
    </w:rPr>
  </w:style>
  <w:style w:type="character" w:styleId="Hyperlink">
    <w:name w:val="Hyperlink"/>
    <w:basedOn w:val="a0"/>
    <w:rsid w:val="007B019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vo.co.il/advertisements/nevo-100.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vo.co.il/law_html/law01/055_002.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nevo.co.il</vt:lpstr>
    </vt:vector>
  </TitlesOfParts>
  <Company> </Company>
  <LinksUpToDate>false</LinksUpToDate>
  <CharactersWithSpaces>1140</CharactersWithSpaces>
  <SharedDoc>false</SharedDoc>
  <HLinks>
    <vt:vector size="12" baseType="variant">
      <vt:variant>
        <vt:i4>393283</vt:i4>
      </vt:variant>
      <vt:variant>
        <vt:i4>3</vt:i4>
      </vt:variant>
      <vt:variant>
        <vt:i4>0</vt:i4>
      </vt:variant>
      <vt:variant>
        <vt:i4>5</vt:i4>
      </vt:variant>
      <vt:variant>
        <vt:lpwstr>http://www.nevo.co.il/advertisements/nevo-100.doc</vt:lpwstr>
      </vt:variant>
      <vt:variant>
        <vt:lpwstr/>
      </vt:variant>
      <vt:variant>
        <vt:i4>3801140</vt:i4>
      </vt:variant>
      <vt:variant>
        <vt:i4>0</vt:i4>
      </vt:variant>
      <vt:variant>
        <vt:i4>0</vt:i4>
      </vt:variant>
      <vt:variant>
        <vt:i4>5</vt:i4>
      </vt:variant>
      <vt:variant>
        <vt:lpwstr>http://www.nevo.co.il/law_html/law01/055_002.htm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cp:lastModifiedBy>
  <cp:revision>2</cp:revision>
  <dcterms:created xsi:type="dcterms:W3CDTF">2014-08-20T10:34:00Z</dcterms:created>
  <dcterms:modified xsi:type="dcterms:W3CDTF">2014-08-20T10:34:00Z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3</vt:lpwstr>
  </property>
  <property fmtid="{D5CDD505-2E9C-101B-9397-08002B2CF9AE}" pid="3" name="PSAKDIN">
    <vt:lpwstr>פסק-דין</vt:lpwstr>
  </property>
  <property fmtid="{D5CDD505-2E9C-101B-9397-08002B2CF9AE}" pid="4" name="NEWPROC">
    <vt:lpwstr>תא</vt:lpwstr>
  </property>
  <property fmtid="{D5CDD505-2E9C-101B-9397-08002B2CF9AE}" pid="5" name="NEWPARTA">
    <vt:lpwstr>7085</vt:lpwstr>
  </property>
  <property fmtid="{D5CDD505-2E9C-101B-9397-08002B2CF9AE}" pid="6" name="NEWPARTB">
    <vt:lpwstr/>
  </property>
  <property fmtid="{D5CDD505-2E9C-101B-9397-08002B2CF9AE}" pid="7" name="NEWPARTC">
    <vt:lpwstr>09</vt:lpwstr>
  </property>
  <property fmtid="{D5CDD505-2E9C-101B-9397-08002B2CF9AE}" pid="8" name="PROCNUM">
    <vt:lpwstr>7085</vt:lpwstr>
  </property>
  <property fmtid="{D5CDD505-2E9C-101B-9397-08002B2CF9AE}" pid="9" name="PROCYEAR">
    <vt:lpwstr>09</vt:lpwstr>
  </property>
  <property fmtid="{D5CDD505-2E9C-101B-9397-08002B2CF9AE}" pid="10" name="APPELLANT">
    <vt:lpwstr>דוד לדווין יצחק</vt:lpwstr>
  </property>
  <property fmtid="{D5CDD505-2E9C-101B-9397-08002B2CF9AE}" pid="11" name="APPELLEE">
    <vt:lpwstr>דוד אטיה</vt:lpwstr>
  </property>
  <property fmtid="{D5CDD505-2E9C-101B-9397-08002B2CF9AE}" pid="12" name="JUDGE">
    <vt:lpwstr>משה ברעם</vt:lpwstr>
  </property>
  <property fmtid="{D5CDD505-2E9C-101B-9397-08002B2CF9AE}" pid="13" name="CITY">
    <vt:lpwstr>י-ם</vt:lpwstr>
  </property>
  <property fmtid="{D5CDD505-2E9C-101B-9397-08002B2CF9AE}" pid="14" name="DATE">
    <vt:lpwstr>20101226</vt:lpwstr>
  </property>
  <property fmtid="{D5CDD505-2E9C-101B-9397-08002B2CF9AE}" pid="15" name="TYPE_N_DATE">
    <vt:lpwstr>38020101226</vt:lpwstr>
  </property>
  <property fmtid="{D5CDD505-2E9C-101B-9397-08002B2CF9AE}" pid="16" name="WORDNUMPAGES">
    <vt:lpwstr>1</vt:lpwstr>
  </property>
  <property fmtid="{D5CDD505-2E9C-101B-9397-08002B2CF9AE}" pid="17" name="TYPE_ABS_DATE">
    <vt:lpwstr>380020101226</vt:lpwstr>
  </property>
  <property fmtid="{D5CDD505-2E9C-101B-9397-08002B2CF9AE}" pid="18" name="RemarkFileName">
    <vt:lpwstr>shalom sh 09 7085 430 htm</vt:lpwstr>
  </property>
</Properties>
</file>