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12AB">
      <w:pPr>
        <w:jc w:val="center"/>
        <w:rPr>
          <w:rtl/>
        </w:rPr>
      </w:pPr>
      <w:bookmarkStart w:id="0" w:name="LastJudge"/>
      <w:r>
        <w:rPr>
          <w:rFonts w:hint="cs"/>
          <w:b/>
          <w:bCs/>
          <w:szCs w:val="32"/>
          <w:rtl/>
        </w:rPr>
        <w:t>בתי המשפט</w:t>
      </w: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000"/>
      </w:tblPr>
      <w:tblGrid>
        <w:gridCol w:w="908"/>
        <w:gridCol w:w="4706"/>
        <w:gridCol w:w="964"/>
        <w:gridCol w:w="1951"/>
      </w:tblGrid>
      <w:tr w:rsidR="004612AB" w:rsidTr="004612AB">
        <w:trPr>
          <w:cantSplit/>
          <w:trHeight w:val="195"/>
        </w:trPr>
        <w:tc>
          <w:tcPr>
            <w:tcW w:w="5614" w:type="dxa"/>
            <w:gridSpan w:val="2"/>
            <w:tcBorders>
              <w:top w:val="single" w:sz="4" w:space="0" w:color="auto"/>
              <w:left w:val="single" w:sz="4" w:space="0" w:color="auto"/>
              <w:bottom w:val="single" w:sz="4" w:space="0" w:color="auto"/>
              <w:right w:val="single" w:sz="4" w:space="0" w:color="auto"/>
            </w:tcBorders>
          </w:tcPr>
          <w:p w:rsidR="004612AB" w:rsidRDefault="004612AB">
            <w:pPr>
              <w:rPr>
                <w:b/>
                <w:bCs/>
                <w:sz w:val="28"/>
                <w:szCs w:val="28"/>
              </w:rPr>
            </w:pPr>
            <w:r>
              <w:rPr>
                <w:rFonts w:hint="cs"/>
                <w:b/>
                <w:bCs/>
                <w:sz w:val="28"/>
                <w:szCs w:val="28"/>
                <w:rtl/>
              </w:rPr>
              <w:t>בית משפט השלום תל אביב-יפו</w:t>
            </w:r>
          </w:p>
        </w:tc>
        <w:tc>
          <w:tcPr>
            <w:tcW w:w="2915" w:type="dxa"/>
            <w:gridSpan w:val="2"/>
            <w:tcBorders>
              <w:top w:val="single" w:sz="4" w:space="0" w:color="auto"/>
              <w:left w:val="single" w:sz="4" w:space="0" w:color="auto"/>
              <w:bottom w:val="single" w:sz="4" w:space="0" w:color="auto"/>
              <w:right w:val="single" w:sz="4" w:space="0" w:color="auto"/>
            </w:tcBorders>
          </w:tcPr>
          <w:p w:rsidR="004612AB" w:rsidRDefault="004612AB">
            <w:pPr>
              <w:rPr>
                <w:b/>
                <w:bCs/>
                <w:sz w:val="28"/>
                <w:szCs w:val="28"/>
              </w:rPr>
            </w:pPr>
            <w:r>
              <w:rPr>
                <w:rFonts w:hint="cs"/>
                <w:b/>
                <w:bCs/>
                <w:sz w:val="28"/>
                <w:szCs w:val="28"/>
                <w:rtl/>
              </w:rPr>
              <w:t>א  047518/07</w:t>
            </w:r>
          </w:p>
        </w:tc>
      </w:tr>
      <w:tr w:rsidR="004612AB" w:rsidTr="004612AB">
        <w:trPr>
          <w:trHeight w:val="286"/>
        </w:trPr>
        <w:tc>
          <w:tcPr>
            <w:tcW w:w="908" w:type="dxa"/>
            <w:tcBorders>
              <w:top w:val="single" w:sz="4" w:space="0" w:color="auto"/>
              <w:left w:val="single" w:sz="4" w:space="0" w:color="auto"/>
              <w:bottom w:val="single" w:sz="4" w:space="0" w:color="auto"/>
              <w:right w:val="single" w:sz="4" w:space="0" w:color="auto"/>
            </w:tcBorders>
          </w:tcPr>
          <w:p w:rsidR="004612AB" w:rsidRDefault="004612AB">
            <w:pPr>
              <w:rPr>
                <w:b/>
                <w:bCs/>
                <w:sz w:val="28"/>
                <w:szCs w:val="28"/>
              </w:rPr>
            </w:pPr>
            <w:r>
              <w:rPr>
                <w:rFonts w:hint="cs"/>
                <w:b/>
                <w:bCs/>
                <w:sz w:val="28"/>
                <w:szCs w:val="28"/>
                <w:rtl/>
              </w:rPr>
              <w:t>בפני:</w:t>
            </w:r>
          </w:p>
        </w:tc>
        <w:tc>
          <w:tcPr>
            <w:tcW w:w="4706" w:type="dxa"/>
            <w:tcBorders>
              <w:top w:val="single" w:sz="4" w:space="0" w:color="auto"/>
              <w:left w:val="single" w:sz="4" w:space="0" w:color="auto"/>
              <w:bottom w:val="single" w:sz="4" w:space="0" w:color="auto"/>
              <w:right w:val="single" w:sz="4" w:space="0" w:color="auto"/>
            </w:tcBorders>
          </w:tcPr>
          <w:p w:rsidR="004612AB" w:rsidRDefault="004612AB">
            <w:pPr>
              <w:rPr>
                <w:b/>
                <w:bCs/>
                <w:sz w:val="28"/>
                <w:szCs w:val="28"/>
              </w:rPr>
            </w:pPr>
            <w:r>
              <w:rPr>
                <w:rFonts w:hint="cs"/>
                <w:b/>
                <w:bCs/>
                <w:sz w:val="28"/>
                <w:szCs w:val="28"/>
                <w:rtl/>
              </w:rPr>
              <w:t>כבוד השופטת רחל  ערקובי</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12AB" w:rsidRDefault="004612AB">
            <w:pPr>
              <w:rPr>
                <w:b/>
                <w:bCs/>
                <w:sz w:val="28"/>
                <w:szCs w:val="28"/>
              </w:rPr>
            </w:pPr>
            <w:r>
              <w:rPr>
                <w:rFonts w:hint="cs"/>
                <w:b/>
                <w:bCs/>
                <w:sz w:val="28"/>
                <w:szCs w:val="28"/>
                <w:rtl/>
              </w:rPr>
              <w:t>תאריך:</w:t>
            </w:r>
          </w:p>
        </w:tc>
        <w:tc>
          <w:tcPr>
            <w:tcW w:w="1951" w:type="dxa"/>
            <w:tcBorders>
              <w:top w:val="single" w:sz="4" w:space="0" w:color="auto"/>
              <w:left w:val="single" w:sz="4" w:space="0" w:color="auto"/>
              <w:bottom w:val="single" w:sz="4" w:space="0" w:color="auto"/>
              <w:right w:val="single" w:sz="4" w:space="0" w:color="auto"/>
            </w:tcBorders>
          </w:tcPr>
          <w:p w:rsidR="004612AB" w:rsidRDefault="004612AB">
            <w:pPr>
              <w:rPr>
                <w:b/>
                <w:bCs/>
                <w:sz w:val="28"/>
                <w:szCs w:val="28"/>
              </w:rPr>
            </w:pPr>
            <w:r>
              <w:rPr>
                <w:rFonts w:hint="cs"/>
                <w:b/>
                <w:bCs/>
                <w:sz w:val="28"/>
                <w:szCs w:val="28"/>
                <w:rtl/>
              </w:rPr>
              <w:t>01/01/2008</w:t>
            </w:r>
          </w:p>
        </w:tc>
      </w:tr>
    </w:tbl>
    <w:p w:rsidR="00000000" w:rsidRDefault="004612AB">
      <w:pPr>
        <w:jc w:val="center"/>
        <w:rPr>
          <w:rFonts w:hint="cs"/>
          <w:b/>
          <w:bCs/>
          <w:sz w:val="32"/>
          <w:szCs w:val="32"/>
          <w:rtl/>
        </w:rPr>
      </w:pPr>
    </w:p>
    <w:tbl>
      <w:tblPr>
        <w:bidiVisual/>
        <w:tblW w:w="0" w:type="auto"/>
        <w:tblInd w:w="56" w:type="dxa"/>
        <w:tblCellMar>
          <w:left w:w="107" w:type="dxa"/>
          <w:right w:w="107" w:type="dxa"/>
        </w:tblCellMar>
        <w:tblLook w:val="0000"/>
      </w:tblPr>
      <w:tblGrid>
        <w:gridCol w:w="1362"/>
        <w:gridCol w:w="1757"/>
        <w:gridCol w:w="3063"/>
        <w:gridCol w:w="2409"/>
      </w:tblGrid>
      <w:tr w:rsidR="004612AB" w:rsidTr="004612AB">
        <w:tc>
          <w:tcPr>
            <w:tcW w:w="1362" w:type="dxa"/>
          </w:tcPr>
          <w:p w:rsidR="004612AB" w:rsidRDefault="004612AB">
            <w:pPr>
              <w:rPr>
                <w:b/>
                <w:bCs/>
                <w:sz w:val="24"/>
              </w:rPr>
            </w:pPr>
            <w:bookmarkStart w:id="1" w:name="שם_א" w:colFirst="1" w:colLast="1"/>
            <w:bookmarkStart w:id="2" w:name="FirstAppellant"/>
            <w:r>
              <w:rPr>
                <w:rFonts w:hint="cs"/>
                <w:b/>
                <w:bCs/>
                <w:sz w:val="24"/>
                <w:rtl/>
              </w:rPr>
              <w:t>בעניין:</w:t>
            </w:r>
          </w:p>
        </w:tc>
        <w:tc>
          <w:tcPr>
            <w:tcW w:w="4820" w:type="dxa"/>
            <w:gridSpan w:val="2"/>
          </w:tcPr>
          <w:p w:rsidR="004612AB" w:rsidRDefault="004612AB">
            <w:pPr>
              <w:rPr>
                <w:b/>
                <w:bCs/>
                <w:sz w:val="24"/>
              </w:rPr>
            </w:pPr>
            <w:r>
              <w:rPr>
                <w:rFonts w:hint="cs"/>
                <w:b/>
                <w:bCs/>
                <w:sz w:val="24"/>
                <w:rtl/>
              </w:rPr>
              <w:t>טקסי המרכז בע"מ</w:t>
            </w:r>
          </w:p>
        </w:tc>
        <w:tc>
          <w:tcPr>
            <w:tcW w:w="2409" w:type="dxa"/>
          </w:tcPr>
          <w:p w:rsidR="004612AB" w:rsidRDefault="004612AB">
            <w:pPr>
              <w:rPr>
                <w:b/>
                <w:bCs/>
                <w:sz w:val="24"/>
              </w:rPr>
            </w:pPr>
          </w:p>
        </w:tc>
      </w:tr>
      <w:tr w:rsidR="004612AB" w:rsidTr="004612AB">
        <w:tc>
          <w:tcPr>
            <w:tcW w:w="1362" w:type="dxa"/>
          </w:tcPr>
          <w:p w:rsidR="004612AB" w:rsidRDefault="004612AB">
            <w:pPr>
              <w:rPr>
                <w:b/>
                <w:bCs/>
                <w:sz w:val="24"/>
              </w:rPr>
            </w:pPr>
            <w:bookmarkStart w:id="3" w:name="בא_כוח_א" w:colFirst="2" w:colLast="2"/>
            <w:bookmarkStart w:id="4" w:name="FirstLawyer"/>
            <w:bookmarkEnd w:id="1"/>
            <w:bookmarkEnd w:id="2"/>
          </w:p>
        </w:tc>
        <w:tc>
          <w:tcPr>
            <w:tcW w:w="1757" w:type="dxa"/>
          </w:tcPr>
          <w:p w:rsidR="004612AB" w:rsidRDefault="004612AB">
            <w:pPr>
              <w:rPr>
                <w:b/>
                <w:bCs/>
                <w:sz w:val="24"/>
              </w:rPr>
            </w:pPr>
            <w:r>
              <w:rPr>
                <w:rFonts w:hint="cs"/>
                <w:b/>
                <w:bCs/>
                <w:sz w:val="24"/>
                <w:rtl/>
              </w:rPr>
              <w:t xml:space="preserve">           ע"י ב"כ </w:t>
            </w:r>
          </w:p>
        </w:tc>
        <w:tc>
          <w:tcPr>
            <w:tcW w:w="3063" w:type="dxa"/>
          </w:tcPr>
          <w:p w:rsidR="004612AB" w:rsidRDefault="004612AB">
            <w:pPr>
              <w:rPr>
                <w:b/>
                <w:bCs/>
                <w:sz w:val="24"/>
              </w:rPr>
            </w:pPr>
            <w:r>
              <w:rPr>
                <w:rFonts w:hint="cs"/>
                <w:b/>
                <w:bCs/>
                <w:sz w:val="24"/>
                <w:rtl/>
              </w:rPr>
              <w:t>עו"ד כהן חיים</w:t>
            </w:r>
          </w:p>
        </w:tc>
        <w:tc>
          <w:tcPr>
            <w:tcW w:w="2409" w:type="dxa"/>
          </w:tcPr>
          <w:p w:rsidR="004612AB" w:rsidRDefault="004612AB">
            <w:pPr>
              <w:rPr>
                <w:sz w:val="24"/>
              </w:rPr>
            </w:pPr>
            <w:r>
              <w:rPr>
                <w:rFonts w:hint="cs"/>
                <w:b/>
                <w:bCs/>
                <w:sz w:val="24"/>
                <w:rtl/>
              </w:rPr>
              <w:t>התובעת</w:t>
            </w:r>
          </w:p>
        </w:tc>
      </w:tr>
      <w:bookmarkEnd w:id="3"/>
      <w:bookmarkEnd w:id="4"/>
      <w:tr w:rsidR="004612AB" w:rsidTr="004612AB">
        <w:tc>
          <w:tcPr>
            <w:tcW w:w="1362" w:type="dxa"/>
          </w:tcPr>
          <w:p w:rsidR="004612AB" w:rsidRDefault="004612AB">
            <w:pPr>
              <w:rPr>
                <w:b/>
                <w:bCs/>
                <w:sz w:val="24"/>
              </w:rPr>
            </w:pPr>
          </w:p>
        </w:tc>
        <w:tc>
          <w:tcPr>
            <w:tcW w:w="4820" w:type="dxa"/>
            <w:gridSpan w:val="2"/>
          </w:tcPr>
          <w:p w:rsidR="004612AB" w:rsidRDefault="004612AB">
            <w:pPr>
              <w:jc w:val="center"/>
              <w:rPr>
                <w:b/>
                <w:bCs/>
                <w:sz w:val="24"/>
              </w:rPr>
            </w:pPr>
            <w:r>
              <w:rPr>
                <w:rFonts w:hint="cs"/>
                <w:b/>
                <w:bCs/>
                <w:sz w:val="24"/>
                <w:rtl/>
              </w:rPr>
              <w:t>נ  ג  ד</w:t>
            </w:r>
          </w:p>
        </w:tc>
        <w:tc>
          <w:tcPr>
            <w:tcW w:w="2409" w:type="dxa"/>
          </w:tcPr>
          <w:p w:rsidR="004612AB" w:rsidRDefault="004612AB">
            <w:pPr>
              <w:rPr>
                <w:b/>
                <w:bCs/>
                <w:sz w:val="24"/>
              </w:rPr>
            </w:pPr>
          </w:p>
        </w:tc>
      </w:tr>
      <w:tr w:rsidR="004612AB" w:rsidTr="004612AB">
        <w:tc>
          <w:tcPr>
            <w:tcW w:w="1362" w:type="dxa"/>
          </w:tcPr>
          <w:p w:rsidR="004612AB" w:rsidRDefault="004612AB">
            <w:pPr>
              <w:rPr>
                <w:b/>
                <w:bCs/>
                <w:sz w:val="24"/>
              </w:rPr>
            </w:pPr>
            <w:bookmarkStart w:id="5" w:name="שם_ב" w:colFirst="1" w:colLast="1"/>
          </w:p>
        </w:tc>
        <w:tc>
          <w:tcPr>
            <w:tcW w:w="4820" w:type="dxa"/>
            <w:gridSpan w:val="2"/>
          </w:tcPr>
          <w:p w:rsidR="004612AB" w:rsidRDefault="004612AB">
            <w:pPr>
              <w:rPr>
                <w:b/>
                <w:bCs/>
                <w:sz w:val="24"/>
              </w:rPr>
            </w:pPr>
            <w:r>
              <w:rPr>
                <w:rFonts w:hint="cs"/>
                <w:b/>
                <w:bCs/>
                <w:sz w:val="24"/>
                <w:rtl/>
              </w:rPr>
              <w:t>1 . מרקי  בוזגלו מרדכי</w:t>
            </w:r>
          </w:p>
          <w:p w:rsidR="004612AB" w:rsidRDefault="004612AB">
            <w:pPr>
              <w:rPr>
                <w:rFonts w:hint="cs"/>
                <w:b/>
                <w:bCs/>
                <w:sz w:val="24"/>
                <w:rtl/>
              </w:rPr>
            </w:pPr>
            <w:r>
              <w:rPr>
                <w:rFonts w:hint="cs"/>
                <w:b/>
                <w:bCs/>
                <w:sz w:val="24"/>
                <w:rtl/>
              </w:rPr>
              <w:t>2 . עופר שערים אוטמטיים -נמחק</w:t>
            </w:r>
          </w:p>
          <w:p w:rsidR="004612AB" w:rsidRDefault="004612AB">
            <w:pPr>
              <w:rPr>
                <w:b/>
                <w:bCs/>
                <w:sz w:val="24"/>
              </w:rPr>
            </w:pPr>
            <w:r>
              <w:rPr>
                <w:rFonts w:hint="cs"/>
                <w:b/>
                <w:bCs/>
                <w:sz w:val="24"/>
                <w:rtl/>
              </w:rPr>
              <w:t>3 . עודד שני - נמחק</w:t>
            </w:r>
          </w:p>
        </w:tc>
        <w:tc>
          <w:tcPr>
            <w:tcW w:w="2409" w:type="dxa"/>
          </w:tcPr>
          <w:p w:rsidR="004612AB" w:rsidRDefault="004612AB">
            <w:pPr>
              <w:rPr>
                <w:b/>
                <w:bCs/>
                <w:sz w:val="24"/>
              </w:rPr>
            </w:pPr>
          </w:p>
        </w:tc>
      </w:tr>
      <w:tr w:rsidR="004612AB" w:rsidTr="004612AB">
        <w:tc>
          <w:tcPr>
            <w:tcW w:w="1362" w:type="dxa"/>
          </w:tcPr>
          <w:p w:rsidR="004612AB" w:rsidRDefault="004612AB">
            <w:pPr>
              <w:rPr>
                <w:b/>
                <w:bCs/>
                <w:sz w:val="24"/>
              </w:rPr>
            </w:pPr>
            <w:bookmarkStart w:id="6" w:name="בא_כוח_ב" w:colFirst="2" w:colLast="2"/>
            <w:bookmarkEnd w:id="5"/>
          </w:p>
        </w:tc>
        <w:tc>
          <w:tcPr>
            <w:tcW w:w="1757" w:type="dxa"/>
          </w:tcPr>
          <w:p w:rsidR="004612AB" w:rsidRDefault="004612AB">
            <w:pPr>
              <w:rPr>
                <w:b/>
                <w:bCs/>
                <w:sz w:val="24"/>
              </w:rPr>
            </w:pPr>
            <w:r>
              <w:rPr>
                <w:rFonts w:hint="cs"/>
                <w:b/>
                <w:bCs/>
                <w:sz w:val="24"/>
                <w:rtl/>
              </w:rPr>
              <w:t xml:space="preserve">           ע"י ב"כ  </w:t>
            </w:r>
          </w:p>
        </w:tc>
        <w:tc>
          <w:tcPr>
            <w:tcW w:w="3063" w:type="dxa"/>
          </w:tcPr>
          <w:p w:rsidR="004612AB" w:rsidRDefault="004612AB">
            <w:pPr>
              <w:rPr>
                <w:b/>
                <w:bCs/>
                <w:sz w:val="24"/>
              </w:rPr>
            </w:pPr>
            <w:r>
              <w:rPr>
                <w:rFonts w:hint="cs"/>
                <w:b/>
                <w:bCs/>
                <w:sz w:val="24"/>
                <w:rtl/>
              </w:rPr>
              <w:t>עו"ד מג'ר משה</w:t>
            </w:r>
          </w:p>
        </w:tc>
        <w:tc>
          <w:tcPr>
            <w:tcW w:w="2409" w:type="dxa"/>
          </w:tcPr>
          <w:p w:rsidR="004612AB" w:rsidRDefault="004612AB">
            <w:pPr>
              <w:rPr>
                <w:b/>
                <w:bCs/>
                <w:sz w:val="24"/>
              </w:rPr>
            </w:pPr>
            <w:r>
              <w:rPr>
                <w:rFonts w:hint="cs"/>
                <w:b/>
                <w:bCs/>
                <w:sz w:val="24"/>
                <w:rtl/>
              </w:rPr>
              <w:t>הנתבע</w:t>
            </w:r>
          </w:p>
        </w:tc>
      </w:tr>
      <w:bookmarkEnd w:id="6"/>
    </w:tbl>
    <w:p w:rsidR="00000000" w:rsidRDefault="004612AB">
      <w:pPr>
        <w:jc w:val="center"/>
        <w:rPr>
          <w:rFonts w:hint="cs"/>
          <w:b/>
          <w:bCs/>
          <w:sz w:val="32"/>
          <w:szCs w:val="32"/>
          <w:rtl/>
        </w:rPr>
      </w:pPr>
    </w:p>
    <w:p w:rsidR="00000000" w:rsidRDefault="004612AB">
      <w:pPr>
        <w:pStyle w:val="1"/>
        <w:rPr>
          <w:rFonts w:hint="cs"/>
          <w:u w:val="none"/>
          <w:rtl/>
        </w:rPr>
      </w:pPr>
      <w:bookmarkStart w:id="7" w:name="PsakDin"/>
      <w:r>
        <w:rPr>
          <w:rFonts w:hint="cs"/>
          <w:u w:val="none"/>
          <w:rtl/>
        </w:rPr>
        <w:t>החלטה - ביחס לנתבע 1</w:t>
      </w:r>
    </w:p>
    <w:bookmarkEnd w:id="7"/>
    <w:p w:rsidR="00000000" w:rsidRDefault="004612AB">
      <w:pPr>
        <w:rPr>
          <w:rFonts w:hint="cs"/>
          <w:rtl/>
        </w:rPr>
      </w:pPr>
    </w:p>
    <w:p w:rsidR="00000000" w:rsidRDefault="004612AB">
      <w:pPr>
        <w:rPr>
          <w:rFonts w:hint="cs"/>
          <w:rtl/>
        </w:rPr>
      </w:pPr>
      <w:r>
        <w:rPr>
          <w:rFonts w:hint="cs"/>
          <w:rtl/>
        </w:rPr>
        <w:t xml:space="preserve">בפניי </w:t>
      </w:r>
      <w:bookmarkStart w:id="8" w:name="ABSTRACT_START"/>
      <w:bookmarkEnd w:id="8"/>
      <w:r>
        <w:rPr>
          <w:rFonts w:hint="cs"/>
          <w:rtl/>
        </w:rPr>
        <w:t>בקשה למתן רשות להתגונן.</w:t>
      </w:r>
    </w:p>
    <w:p w:rsidR="00000000" w:rsidRDefault="004612AB">
      <w:pPr>
        <w:jc w:val="left"/>
        <w:rPr>
          <w:rFonts w:hint="cs"/>
          <w:b/>
          <w:bCs/>
          <w:sz w:val="24"/>
          <w:rtl/>
        </w:rPr>
      </w:pPr>
      <w:r>
        <w:rPr>
          <w:rFonts w:hint="cs"/>
          <w:sz w:val="24"/>
          <w:rtl/>
        </w:rPr>
        <w:t>התובעת הגישה תביעה על פיה עתרה כי ביהמ"ש יורה על פינויו של הנתבע מנכס מקרקעין, הידוע כחלק מחלקה 29 בגוש 6946, ברחוב הגדוד העברי בתל אביב</w:t>
      </w:r>
      <w:bookmarkStart w:id="9" w:name="ABSTRACT_END"/>
      <w:bookmarkEnd w:id="9"/>
      <w:r>
        <w:rPr>
          <w:rFonts w:hint="cs"/>
          <w:sz w:val="24"/>
          <w:rtl/>
        </w:rPr>
        <w:t>, (להלן: "הנכס").</w:t>
      </w:r>
    </w:p>
    <w:p w:rsidR="00000000" w:rsidRDefault="004612AB">
      <w:pPr>
        <w:jc w:val="left"/>
        <w:rPr>
          <w:rFonts w:hint="cs"/>
          <w:b/>
          <w:bCs/>
          <w:sz w:val="24"/>
          <w:rtl/>
        </w:rPr>
      </w:pPr>
    </w:p>
    <w:p w:rsidR="00000000" w:rsidRDefault="004612AB">
      <w:pPr>
        <w:jc w:val="left"/>
        <w:rPr>
          <w:rFonts w:hint="cs"/>
          <w:sz w:val="24"/>
          <w:rtl/>
        </w:rPr>
      </w:pPr>
      <w:r>
        <w:rPr>
          <w:rFonts w:hint="cs"/>
          <w:sz w:val="24"/>
          <w:rtl/>
        </w:rPr>
        <w:t>הנת</w:t>
      </w:r>
      <w:r>
        <w:rPr>
          <w:rFonts w:hint="cs"/>
          <w:sz w:val="24"/>
          <w:rtl/>
        </w:rPr>
        <w:t>בע הגיש תצהיר, נחקר על תצהירו ובאי כוח הצדדים הגישו סיכומיהם בכתב. ניתנה האפשרות לב"כ הנתבע להגיש סיכומי תשובה, משלא הוגשו ניתנה החלטתי על יסוד סיכומי הנתבע וסיכומי התובעת.</w:t>
      </w:r>
    </w:p>
    <w:p w:rsidR="00000000" w:rsidRDefault="004612AB">
      <w:pPr>
        <w:jc w:val="left"/>
        <w:rPr>
          <w:rFonts w:hint="cs"/>
          <w:sz w:val="24"/>
          <w:rtl/>
        </w:rPr>
      </w:pPr>
    </w:p>
    <w:bookmarkEnd w:id="0"/>
    <w:p w:rsidR="00000000" w:rsidRDefault="004612AB">
      <w:pPr>
        <w:jc w:val="left"/>
        <w:rPr>
          <w:rFonts w:hint="cs"/>
          <w:sz w:val="24"/>
          <w:rtl/>
        </w:rPr>
      </w:pPr>
      <w:r>
        <w:rPr>
          <w:rFonts w:hint="cs"/>
          <w:b/>
          <w:bCs/>
          <w:sz w:val="24"/>
          <w:u w:val="single"/>
          <w:rtl/>
        </w:rPr>
        <w:t>טענות הנתבע:</w:t>
      </w:r>
    </w:p>
    <w:p w:rsidR="00000000" w:rsidRDefault="004612AB">
      <w:pPr>
        <w:jc w:val="left"/>
        <w:rPr>
          <w:rFonts w:hint="cs"/>
          <w:sz w:val="24"/>
          <w:rtl/>
        </w:rPr>
      </w:pPr>
    </w:p>
    <w:p w:rsidR="00000000" w:rsidRDefault="004612AB">
      <w:pPr>
        <w:jc w:val="left"/>
        <w:rPr>
          <w:rFonts w:hint="cs"/>
          <w:sz w:val="24"/>
          <w:rtl/>
        </w:rPr>
      </w:pPr>
      <w:r>
        <w:rPr>
          <w:rFonts w:hint="cs"/>
          <w:sz w:val="24"/>
          <w:rtl/>
        </w:rPr>
        <w:t>הנתבע טוען כי הוא מתגורר בשולי המגרש נשוא התובענה מזה כ-12 שנים ברצי</w:t>
      </w:r>
      <w:r>
        <w:rPr>
          <w:rFonts w:hint="cs"/>
          <w:sz w:val="24"/>
          <w:rtl/>
        </w:rPr>
        <w:t>פות. הנתבע טוען כי המדובר במגרש ריק אשר משמש כשביל כניסה לביתו וכחנייה לרכבו ולמספר כלי רכב קבועים.</w:t>
      </w:r>
    </w:p>
    <w:p w:rsidR="00000000" w:rsidRDefault="004612AB">
      <w:pPr>
        <w:jc w:val="left"/>
        <w:rPr>
          <w:rFonts w:hint="cs"/>
          <w:sz w:val="24"/>
          <w:rtl/>
        </w:rPr>
      </w:pPr>
    </w:p>
    <w:p w:rsidR="00000000" w:rsidRDefault="004612AB">
      <w:pPr>
        <w:jc w:val="left"/>
        <w:rPr>
          <w:rFonts w:hint="cs"/>
          <w:sz w:val="24"/>
          <w:rtl/>
        </w:rPr>
      </w:pPr>
      <w:r>
        <w:rPr>
          <w:rFonts w:hint="cs"/>
          <w:sz w:val="24"/>
          <w:rtl/>
        </w:rPr>
        <w:t>הואיל והמדובר בשביל הכניסה לביתו נטען כי המבקש השקיע סכומי כסף בלתי מבוטלים לפינוי הצמחייה, גידור המגרש, ניקוי הפסולת, יישור השטח והנחת כורכר.</w:t>
      </w:r>
    </w:p>
    <w:p w:rsidR="00000000" w:rsidRDefault="004612AB">
      <w:pPr>
        <w:jc w:val="left"/>
        <w:rPr>
          <w:rFonts w:hint="cs"/>
          <w:sz w:val="24"/>
          <w:rtl/>
        </w:rPr>
      </w:pPr>
    </w:p>
    <w:p w:rsidR="00000000" w:rsidRDefault="004612AB">
      <w:pPr>
        <w:jc w:val="left"/>
        <w:rPr>
          <w:rFonts w:hint="cs"/>
          <w:sz w:val="24"/>
          <w:rtl/>
        </w:rPr>
      </w:pPr>
      <w:r>
        <w:rPr>
          <w:rFonts w:hint="cs"/>
          <w:sz w:val="24"/>
          <w:rtl/>
        </w:rPr>
        <w:t>כך למשל התק</w:t>
      </w:r>
      <w:r>
        <w:rPr>
          <w:rFonts w:hint="cs"/>
          <w:sz w:val="24"/>
          <w:rtl/>
        </w:rPr>
        <w:t>ין בשנת 2001 שער חשמלי.</w:t>
      </w:r>
    </w:p>
    <w:p w:rsidR="00000000" w:rsidRDefault="004612AB">
      <w:pPr>
        <w:jc w:val="left"/>
        <w:rPr>
          <w:rFonts w:hint="cs"/>
          <w:sz w:val="24"/>
          <w:rtl/>
        </w:rPr>
      </w:pPr>
      <w:r>
        <w:rPr>
          <w:rFonts w:hint="cs"/>
          <w:sz w:val="24"/>
          <w:rtl/>
        </w:rPr>
        <w:lastRenderedPageBreak/>
        <w:t>הנתבע טוען כי התובעת לא פנתה אליו, למרות שידעה, כי הוא מתגורר במקום מתוך כוונה, כי הנתבע ישקיע מכספו ואילו היא תוכל ליהנות מפירות השקעתו.</w:t>
      </w:r>
    </w:p>
    <w:p w:rsidR="00000000" w:rsidRDefault="004612AB">
      <w:pPr>
        <w:jc w:val="left"/>
        <w:rPr>
          <w:rFonts w:hint="cs"/>
          <w:sz w:val="24"/>
          <w:rtl/>
        </w:rPr>
      </w:pPr>
    </w:p>
    <w:p w:rsidR="00000000" w:rsidRDefault="004612AB">
      <w:pPr>
        <w:jc w:val="left"/>
        <w:rPr>
          <w:rFonts w:hint="cs"/>
          <w:sz w:val="24"/>
          <w:rtl/>
        </w:rPr>
      </w:pPr>
      <w:r>
        <w:rPr>
          <w:rFonts w:hint="cs"/>
          <w:sz w:val="24"/>
          <w:rtl/>
        </w:rPr>
        <w:t>הנתבע טוען כי הנחת האספלט נעשתה לאור היום וכי התובעת ו/או מי מטעמה לא מחו בידיו של הנתבע.</w:t>
      </w:r>
    </w:p>
    <w:p w:rsidR="00000000" w:rsidRDefault="004612AB">
      <w:pPr>
        <w:jc w:val="left"/>
        <w:rPr>
          <w:rFonts w:hint="cs"/>
          <w:sz w:val="24"/>
          <w:rtl/>
        </w:rPr>
      </w:pPr>
    </w:p>
    <w:p w:rsidR="00000000" w:rsidRDefault="004612AB">
      <w:pPr>
        <w:jc w:val="left"/>
        <w:rPr>
          <w:rFonts w:hint="cs"/>
          <w:sz w:val="24"/>
          <w:rtl/>
        </w:rPr>
      </w:pPr>
      <w:r>
        <w:rPr>
          <w:rFonts w:hint="cs"/>
          <w:sz w:val="24"/>
          <w:rtl/>
        </w:rPr>
        <w:t>הנ</w:t>
      </w:r>
      <w:r>
        <w:rPr>
          <w:rFonts w:hint="cs"/>
          <w:sz w:val="24"/>
          <w:rtl/>
        </w:rPr>
        <w:t>תבע טוען כי נוהלו מגעים בינו לבין עו"ד כהן מטעם התובעת, בהם נדונו זכויותיו וערכן הכספי וכי הובטח לו פיצוי כספי בגין השקעותיו וזכויותיו במקרקעין.</w:t>
      </w:r>
    </w:p>
    <w:p w:rsidR="00000000" w:rsidRDefault="004612AB">
      <w:pPr>
        <w:jc w:val="left"/>
        <w:rPr>
          <w:rFonts w:hint="cs"/>
          <w:sz w:val="24"/>
          <w:rtl/>
        </w:rPr>
      </w:pPr>
    </w:p>
    <w:p w:rsidR="00000000" w:rsidRDefault="004612AB">
      <w:pPr>
        <w:jc w:val="left"/>
        <w:rPr>
          <w:rFonts w:hint="cs"/>
          <w:sz w:val="24"/>
          <w:rtl/>
        </w:rPr>
      </w:pPr>
      <w:r>
        <w:rPr>
          <w:rFonts w:hint="cs"/>
          <w:sz w:val="24"/>
          <w:rtl/>
        </w:rPr>
        <w:t>הנתבע טוען כי לאור השקעותיו,  ולאור הבטחות מי מטעם התובעת הוא זכאי לקבל פיצוי כנגד מסירת החזקה מטעמו.</w:t>
      </w:r>
    </w:p>
    <w:p w:rsidR="00000000" w:rsidRDefault="004612AB">
      <w:pPr>
        <w:jc w:val="left"/>
        <w:rPr>
          <w:rFonts w:hint="cs"/>
          <w:sz w:val="24"/>
          <w:rtl/>
        </w:rPr>
      </w:pPr>
    </w:p>
    <w:p w:rsidR="00000000" w:rsidRDefault="004612AB">
      <w:pPr>
        <w:jc w:val="left"/>
        <w:rPr>
          <w:rFonts w:hint="cs"/>
          <w:sz w:val="24"/>
          <w:rtl/>
        </w:rPr>
      </w:pPr>
      <w:r>
        <w:rPr>
          <w:rFonts w:hint="cs"/>
          <w:sz w:val="24"/>
          <w:rtl/>
        </w:rPr>
        <w:t>עוד נטע</w:t>
      </w:r>
      <w:r>
        <w:rPr>
          <w:rFonts w:hint="cs"/>
          <w:sz w:val="24"/>
          <w:rtl/>
        </w:rPr>
        <w:t>ן כי בשלב זה המדובר בבקשה למתן רשות להתגונן ולכן יש לקבל את הבקשה.</w:t>
      </w:r>
    </w:p>
    <w:p w:rsidR="00000000" w:rsidRDefault="004612AB">
      <w:pPr>
        <w:jc w:val="left"/>
        <w:rPr>
          <w:rFonts w:hint="cs"/>
          <w:sz w:val="24"/>
          <w:rtl/>
        </w:rPr>
      </w:pPr>
    </w:p>
    <w:p w:rsidR="00000000" w:rsidRDefault="004612AB">
      <w:pPr>
        <w:jc w:val="left"/>
        <w:rPr>
          <w:rFonts w:hint="cs"/>
          <w:sz w:val="24"/>
          <w:rtl/>
        </w:rPr>
      </w:pPr>
      <w:r>
        <w:rPr>
          <w:rFonts w:hint="cs"/>
          <w:b/>
          <w:bCs/>
          <w:sz w:val="24"/>
          <w:u w:val="single"/>
          <w:rtl/>
        </w:rPr>
        <w:t>טענות התובעת:</w:t>
      </w:r>
    </w:p>
    <w:p w:rsidR="00000000" w:rsidRDefault="004612AB">
      <w:pPr>
        <w:jc w:val="left"/>
        <w:rPr>
          <w:rFonts w:hint="cs"/>
          <w:sz w:val="24"/>
          <w:rtl/>
        </w:rPr>
      </w:pPr>
    </w:p>
    <w:p w:rsidR="00000000" w:rsidRDefault="004612AB">
      <w:pPr>
        <w:jc w:val="left"/>
        <w:rPr>
          <w:rFonts w:hint="cs"/>
          <w:sz w:val="24"/>
          <w:rtl/>
        </w:rPr>
      </w:pPr>
      <w:r>
        <w:rPr>
          <w:rFonts w:hint="cs"/>
          <w:sz w:val="24"/>
          <w:rtl/>
        </w:rPr>
        <w:t>התובעת טוענת כי הגנתו הגנת בדים. מדובר באדם אשר השתלט על שטח מקרקעין ואין לו כל זכויות בו.</w:t>
      </w:r>
    </w:p>
    <w:p w:rsidR="00000000" w:rsidRDefault="004612AB">
      <w:pPr>
        <w:jc w:val="left"/>
        <w:rPr>
          <w:rFonts w:hint="cs"/>
          <w:sz w:val="24"/>
          <w:rtl/>
        </w:rPr>
      </w:pPr>
    </w:p>
    <w:p w:rsidR="00000000" w:rsidRDefault="004612AB">
      <w:pPr>
        <w:jc w:val="left"/>
        <w:rPr>
          <w:rFonts w:hint="cs"/>
          <w:sz w:val="24"/>
          <w:rtl/>
        </w:rPr>
      </w:pPr>
      <w:r>
        <w:rPr>
          <w:rFonts w:hint="cs"/>
          <w:sz w:val="24"/>
          <w:rtl/>
        </w:rPr>
        <w:t>התובעת טוענת כי אין מחלוקת כי היא הבעלים, וזכאית לעתור לסילוקו של כל מחזיק שלא כד</w:t>
      </w:r>
      <w:r>
        <w:rPr>
          <w:rFonts w:hint="cs"/>
          <w:sz w:val="24"/>
          <w:rtl/>
        </w:rPr>
        <w:t>ין.</w:t>
      </w:r>
    </w:p>
    <w:p w:rsidR="00000000" w:rsidRDefault="004612AB">
      <w:pPr>
        <w:jc w:val="left"/>
        <w:rPr>
          <w:rFonts w:hint="cs"/>
          <w:sz w:val="24"/>
          <w:rtl/>
        </w:rPr>
      </w:pPr>
    </w:p>
    <w:p w:rsidR="00000000" w:rsidRDefault="004612AB">
      <w:pPr>
        <w:jc w:val="left"/>
        <w:rPr>
          <w:rFonts w:hint="cs"/>
          <w:sz w:val="24"/>
          <w:rtl/>
        </w:rPr>
      </w:pPr>
      <w:r>
        <w:rPr>
          <w:rFonts w:hint="cs"/>
          <w:sz w:val="24"/>
          <w:rtl/>
        </w:rPr>
        <w:t>התובעת טוענת כי הנתבע הודה כי אין לו כל זכות במקרקעין, וכי לא רכש כלל זכות של בר רשות במקרקעין.</w:t>
      </w:r>
    </w:p>
    <w:p w:rsidR="00000000" w:rsidRDefault="004612AB">
      <w:pPr>
        <w:jc w:val="left"/>
        <w:rPr>
          <w:rFonts w:hint="cs"/>
          <w:sz w:val="24"/>
          <w:rtl/>
        </w:rPr>
      </w:pPr>
    </w:p>
    <w:p w:rsidR="00000000" w:rsidRDefault="004612AB">
      <w:pPr>
        <w:jc w:val="left"/>
        <w:rPr>
          <w:rFonts w:hint="cs"/>
          <w:sz w:val="24"/>
          <w:rtl/>
        </w:rPr>
      </w:pPr>
      <w:r>
        <w:rPr>
          <w:rFonts w:hint="cs"/>
          <w:sz w:val="24"/>
          <w:rtl/>
        </w:rPr>
        <w:t>התובעת דוחה את הטענות הנוגעות לזכות לפיצוי כלשהו, ועותרת כי ביהמ"ש יורה על פינוי ודחיית הבקשה למתן רשות להתגונן.</w:t>
      </w:r>
    </w:p>
    <w:p w:rsidR="00000000" w:rsidRDefault="004612AB">
      <w:pPr>
        <w:jc w:val="left"/>
        <w:rPr>
          <w:rFonts w:hint="cs"/>
          <w:sz w:val="24"/>
          <w:rtl/>
        </w:rPr>
      </w:pPr>
    </w:p>
    <w:p w:rsidR="00000000" w:rsidRDefault="004612AB">
      <w:pPr>
        <w:jc w:val="left"/>
        <w:rPr>
          <w:rFonts w:hint="cs"/>
          <w:b/>
          <w:bCs/>
          <w:sz w:val="24"/>
          <w:u w:val="single"/>
          <w:rtl/>
        </w:rPr>
      </w:pPr>
    </w:p>
    <w:p w:rsidR="00000000" w:rsidRDefault="004612AB">
      <w:pPr>
        <w:jc w:val="left"/>
        <w:rPr>
          <w:rFonts w:hint="cs"/>
          <w:b/>
          <w:bCs/>
          <w:sz w:val="24"/>
          <w:u w:val="single"/>
          <w:rtl/>
        </w:rPr>
      </w:pPr>
    </w:p>
    <w:p w:rsidR="00000000" w:rsidRDefault="004612AB">
      <w:pPr>
        <w:jc w:val="left"/>
        <w:rPr>
          <w:rFonts w:hint="cs"/>
          <w:b/>
          <w:bCs/>
          <w:sz w:val="24"/>
          <w:u w:val="single"/>
          <w:rtl/>
        </w:rPr>
      </w:pPr>
      <w:r>
        <w:rPr>
          <w:rFonts w:hint="cs"/>
          <w:b/>
          <w:bCs/>
          <w:sz w:val="24"/>
          <w:u w:val="single"/>
          <w:rtl/>
        </w:rPr>
        <w:t>דיון:</w:t>
      </w:r>
    </w:p>
    <w:p w:rsidR="00000000" w:rsidRDefault="004612AB">
      <w:pPr>
        <w:jc w:val="left"/>
        <w:rPr>
          <w:rFonts w:hint="cs"/>
          <w:sz w:val="24"/>
          <w:rtl/>
        </w:rPr>
      </w:pPr>
    </w:p>
    <w:p w:rsidR="00000000" w:rsidRDefault="004612AB">
      <w:pPr>
        <w:jc w:val="left"/>
        <w:rPr>
          <w:rFonts w:hint="cs"/>
          <w:sz w:val="24"/>
          <w:rtl/>
        </w:rPr>
      </w:pPr>
      <w:r>
        <w:rPr>
          <w:rFonts w:hint="cs"/>
          <w:sz w:val="24"/>
          <w:rtl/>
        </w:rPr>
        <w:t>הכלל הידוע הינו כי על המבקש רשו</w:t>
      </w:r>
      <w:r>
        <w:rPr>
          <w:rFonts w:hint="cs"/>
          <w:sz w:val="24"/>
          <w:rtl/>
        </w:rPr>
        <w:t>ת להתגונן להראות הגנה לכאורה ולו בדוחק, וביהמ"ש ימנע מלדחות בקשה כאשר מוצגת הגנה בפני התובענה גם אם המדובר בהגנה שקשה להוכיחה.</w:t>
      </w:r>
    </w:p>
    <w:p w:rsidR="00000000" w:rsidRDefault="004612AB">
      <w:pPr>
        <w:jc w:val="left"/>
        <w:rPr>
          <w:rFonts w:hint="cs"/>
          <w:sz w:val="24"/>
          <w:rtl/>
        </w:rPr>
      </w:pPr>
    </w:p>
    <w:p w:rsidR="00000000" w:rsidRDefault="004612AB">
      <w:pPr>
        <w:jc w:val="left"/>
        <w:rPr>
          <w:rFonts w:hint="cs"/>
          <w:sz w:val="24"/>
          <w:rtl/>
        </w:rPr>
      </w:pPr>
      <w:r>
        <w:rPr>
          <w:rFonts w:hint="cs"/>
          <w:sz w:val="24"/>
          <w:rtl/>
        </w:rPr>
        <w:lastRenderedPageBreak/>
        <w:t>אלא שבענייננו, אין הלכה זו יכולה להוביל לקבלת הבקשה משום שגם אם תתקבלנה כל טענות הנתבע עדיין אין בהן כדי להוות תריס ומגן מפני הת</w:t>
      </w:r>
      <w:r>
        <w:rPr>
          <w:rFonts w:hint="cs"/>
          <w:sz w:val="24"/>
          <w:rtl/>
        </w:rPr>
        <w:t>ובענה, ואפרט.</w:t>
      </w:r>
    </w:p>
    <w:p w:rsidR="00000000" w:rsidRDefault="004612AB">
      <w:pPr>
        <w:jc w:val="left"/>
        <w:rPr>
          <w:rFonts w:hint="cs"/>
          <w:sz w:val="24"/>
          <w:rtl/>
        </w:rPr>
      </w:pPr>
    </w:p>
    <w:p w:rsidR="00000000" w:rsidRDefault="004612AB">
      <w:pPr>
        <w:jc w:val="left"/>
        <w:rPr>
          <w:rFonts w:hint="cs"/>
          <w:sz w:val="24"/>
          <w:rtl/>
        </w:rPr>
      </w:pPr>
      <w:r>
        <w:rPr>
          <w:rFonts w:hint="cs"/>
          <w:sz w:val="24"/>
          <w:rtl/>
        </w:rPr>
        <w:t>הנתבע אינו טוען במפורש כי הינו בר רשות במקרקעין, אלה טוען כי הובטח לו שישולם לו פיצוי כספי בגין השקעותיו, וזכויותיו.</w:t>
      </w:r>
    </w:p>
    <w:p w:rsidR="00000000" w:rsidRDefault="004612AB">
      <w:pPr>
        <w:jc w:val="left"/>
        <w:rPr>
          <w:rFonts w:hint="cs"/>
          <w:sz w:val="24"/>
          <w:rtl/>
        </w:rPr>
      </w:pPr>
    </w:p>
    <w:p w:rsidR="00000000" w:rsidRDefault="004612AB">
      <w:pPr>
        <w:jc w:val="left"/>
        <w:rPr>
          <w:rFonts w:hint="cs"/>
          <w:sz w:val="24"/>
          <w:rtl/>
        </w:rPr>
      </w:pPr>
      <w:r>
        <w:rPr>
          <w:rFonts w:hint="cs"/>
          <w:sz w:val="24"/>
          <w:rtl/>
        </w:rPr>
        <w:t>מהן ההשקעות? הנחת אספלט, התקנת שער חשמלי, יישור המגרש וכד'.</w:t>
      </w:r>
    </w:p>
    <w:p w:rsidR="00000000" w:rsidRDefault="004612AB">
      <w:pPr>
        <w:jc w:val="left"/>
        <w:rPr>
          <w:rFonts w:hint="cs"/>
          <w:sz w:val="24"/>
          <w:rtl/>
        </w:rPr>
      </w:pPr>
    </w:p>
    <w:p w:rsidR="00000000" w:rsidRDefault="004612AB">
      <w:pPr>
        <w:jc w:val="left"/>
        <w:rPr>
          <w:rFonts w:hint="cs"/>
          <w:sz w:val="24"/>
          <w:rtl/>
        </w:rPr>
      </w:pPr>
      <w:r>
        <w:rPr>
          <w:rFonts w:hint="cs"/>
          <w:sz w:val="24"/>
          <w:rtl/>
        </w:rPr>
        <w:t>במסגרת החקירה העיד הנתבע כי</w:t>
      </w:r>
    </w:p>
    <w:p w:rsidR="00000000" w:rsidRDefault="004612AB">
      <w:pPr>
        <w:jc w:val="left"/>
        <w:rPr>
          <w:rFonts w:hint="cs"/>
          <w:b/>
          <w:bCs/>
          <w:sz w:val="24"/>
          <w:u w:val="single"/>
          <w:rtl/>
        </w:rPr>
      </w:pPr>
    </w:p>
    <w:p w:rsidR="00000000" w:rsidRDefault="004612AB">
      <w:pPr>
        <w:spacing w:line="240" w:lineRule="auto"/>
        <w:ind w:left="1440" w:hanging="720"/>
        <w:rPr>
          <w:rFonts w:hint="cs"/>
          <w:b/>
          <w:bCs/>
          <w:rtl/>
        </w:rPr>
      </w:pPr>
      <w:r>
        <w:rPr>
          <w:rFonts w:hint="cs"/>
          <w:b/>
          <w:bCs/>
          <w:rtl/>
        </w:rPr>
        <w:t>"ש.</w:t>
      </w:r>
      <w:r>
        <w:rPr>
          <w:rFonts w:hint="cs"/>
          <w:b/>
          <w:bCs/>
          <w:rtl/>
        </w:rPr>
        <w:tab/>
        <w:t>נכון שאת השערים התקנת בלי איש</w:t>
      </w:r>
      <w:r>
        <w:rPr>
          <w:rFonts w:hint="cs"/>
          <w:b/>
          <w:bCs/>
          <w:rtl/>
        </w:rPr>
        <w:t>ור של התובעים?</w:t>
      </w:r>
    </w:p>
    <w:p w:rsidR="00000000" w:rsidRDefault="004612AB">
      <w:pPr>
        <w:spacing w:line="240" w:lineRule="auto"/>
        <w:ind w:left="1440" w:hanging="720"/>
        <w:rPr>
          <w:rFonts w:hint="cs"/>
          <w:b/>
          <w:bCs/>
          <w:rtl/>
        </w:rPr>
      </w:pPr>
      <w:r>
        <w:rPr>
          <w:rFonts w:hint="cs"/>
          <w:b/>
          <w:bCs/>
          <w:rtl/>
        </w:rPr>
        <w:t>...</w:t>
      </w:r>
    </w:p>
    <w:p w:rsidR="00000000" w:rsidRDefault="004612AB">
      <w:pPr>
        <w:numPr>
          <w:ilvl w:val="0"/>
          <w:numId w:val="2"/>
        </w:numPr>
        <w:tabs>
          <w:tab w:val="clear" w:pos="720"/>
          <w:tab w:val="num" w:pos="1440"/>
        </w:tabs>
        <w:spacing w:line="240" w:lineRule="auto"/>
        <w:ind w:left="1440" w:right="0"/>
        <w:rPr>
          <w:rFonts w:hint="cs"/>
          <w:b/>
          <w:bCs/>
          <w:rtl/>
        </w:rPr>
      </w:pPr>
      <w:r>
        <w:rPr>
          <w:rFonts w:hint="cs"/>
          <w:b/>
          <w:bCs/>
          <w:rtl/>
        </w:rPr>
        <w:t>אני לא הייתי אמור לקבל את אישור התובעת. וזאת מכיוון שאת המקום הזה אני מכיר כ-40 שנה. עד היום ישבתי 18 שנה בכלא. לפני כ-30 שנה הייתי משתמש בסמים, והיו שם אנשים שהיה להם מפעל לברזים. תוך כדי גניבות איתם התחברנו. התובעת ביקשה ממני אישור למע</w:t>
      </w:r>
      <w:r>
        <w:rPr>
          <w:rFonts w:hint="cs"/>
          <w:b/>
          <w:bCs/>
          <w:rtl/>
        </w:rPr>
        <w:t xml:space="preserve">בר, כי כבר התקנתי שער. אני הבנתי המגרש הצמוד שייך למדינה. </w:t>
      </w:r>
    </w:p>
    <w:p w:rsidR="00000000" w:rsidRDefault="004612AB">
      <w:pPr>
        <w:spacing w:line="240" w:lineRule="auto"/>
        <w:ind w:left="1440"/>
        <w:rPr>
          <w:rFonts w:hint="cs"/>
          <w:b/>
          <w:bCs/>
          <w:rtl/>
        </w:rPr>
      </w:pPr>
      <w:r>
        <w:rPr>
          <w:rFonts w:hint="cs"/>
          <w:b/>
          <w:bCs/>
          <w:rtl/>
        </w:rPr>
        <w:t>לפני 14 שנה עזבתי את עולם הפשע, ולא היה לי לאן ללכת. אמרתי שאכנס למגרש ואנסה לבנות לי צריף. היה שכן בשם אברהם מלצמן שהמקום צמוד למגרש איפה שהזקנים היו חיים. הוא ראה אותי. באתי למגרש כשיצאתי מבתי הס</w:t>
      </w:r>
      <w:r>
        <w:rPr>
          <w:rFonts w:hint="cs"/>
          <w:b/>
          <w:bCs/>
          <w:rtl/>
        </w:rPr>
        <w:t xml:space="preserve">והר, כל זה היה פרוץ ולא היו גדרות, אמרתי אני ישים על המגרש קרוואן, תוך כדי זה ניקיתי היה זבל,אדון אברהם מלצמן ראה אותי שם הוא מכיר אותי מהעבר אמר לי מה אתה הולך לעשות פה, אמרתי שאני הולך לבנות שם משהו כדי להתחיל לחיות, הוא אמר בוא אני יעזור לך, ישתבח שמו, </w:t>
      </w:r>
      <w:r>
        <w:rPr>
          <w:rFonts w:hint="cs"/>
          <w:b/>
          <w:bCs/>
          <w:rtl/>
        </w:rPr>
        <w:t xml:space="preserve">הוא מיליונר. איפה שהבניין זה הבית שלי היום. כל המגרש הזה ועוד מגרש היו חלקה אחת. הבית היה עומד בודד בין כולם, אז התובעת היו חונים אנשים, הכל היה פרוץ. אמר לי אין לך מה לעשות, בוא אני אתן לך את הבית. הכל היה פרוץ והכל אני סידרתי.  </w:t>
      </w:r>
    </w:p>
    <w:p w:rsidR="00000000" w:rsidRDefault="004612AB">
      <w:pPr>
        <w:spacing w:line="240" w:lineRule="auto"/>
        <w:ind w:left="1440"/>
        <w:rPr>
          <w:rFonts w:hint="cs"/>
          <w:b/>
          <w:bCs/>
          <w:rtl/>
        </w:rPr>
      </w:pPr>
      <w:r>
        <w:rPr>
          <w:rFonts w:hint="cs"/>
          <w:b/>
          <w:bCs/>
          <w:rtl/>
        </w:rPr>
        <w:t>אני לא ביקשתי אישור ולא ה</w:t>
      </w:r>
      <w:r>
        <w:rPr>
          <w:rFonts w:hint="cs"/>
          <w:b/>
          <w:bCs/>
          <w:rtl/>
        </w:rPr>
        <w:t>ייתי צריך אישור. כשבניתי את השער עוד לפני שהייתי צריך אישור, שמתי אספלט, הכל היה פה כמו יער, יחידה אחת, היו נכנסים גם מלוינסקי. תוך כדי זה שסידרתי. יום אחד באו אלי הרשויות אמרו לי מה זה המגרש הזה, אמרתי לא יודע. הם שאלו איך יעברו, אמרתי להם שיש לי שלטים אנ</w:t>
      </w:r>
      <w:r>
        <w:rPr>
          <w:rFonts w:hint="cs"/>
          <w:b/>
          <w:bCs/>
          <w:rtl/>
        </w:rPr>
        <w:t xml:space="preserve">י יכול לתת להם את השלטים וכשאני יעזוב אתן לכם גם את השער, האמת שלא ידעתי תוך כדי זה שעוד 14 שנה זה עוד פרק זמן, היום יש לי ילדה, בניתי את חיי, ישתבח שמו. כל מה שהצלחתי לעשות ולבנות. הוא ביקש את הזכות שהוא יכול לעבור, כשהוא לא סימן לי איפה החלקה שלו. </w:t>
      </w:r>
    </w:p>
    <w:p w:rsidR="00000000" w:rsidRDefault="004612AB">
      <w:pPr>
        <w:spacing w:line="240" w:lineRule="auto"/>
        <w:ind w:left="1440" w:hanging="720"/>
        <w:rPr>
          <w:b/>
          <w:bCs/>
          <w:rtl/>
        </w:rPr>
      </w:pPr>
      <w:r>
        <w:rPr>
          <w:rFonts w:hint="cs"/>
          <w:b/>
          <w:bCs/>
          <w:rtl/>
        </w:rPr>
        <w:t>ש.</w:t>
      </w:r>
      <w:r>
        <w:rPr>
          <w:rFonts w:hint="cs"/>
          <w:b/>
          <w:bCs/>
          <w:rtl/>
        </w:rPr>
        <w:tab/>
        <w:t>את</w:t>
      </w:r>
      <w:r>
        <w:rPr>
          <w:rFonts w:hint="cs"/>
          <w:b/>
          <w:bCs/>
          <w:rtl/>
        </w:rPr>
        <w:t>ה מסכים איתי ששמת שער על השטח שסימנת כמגרש איקס בלי שקיבלת אישור מהתובעת?</w:t>
      </w:r>
    </w:p>
    <w:p w:rsidR="00000000" w:rsidRDefault="004612AB">
      <w:pPr>
        <w:spacing w:line="240" w:lineRule="auto"/>
        <w:ind w:left="1440" w:hanging="720"/>
        <w:rPr>
          <w:rFonts w:hint="cs"/>
          <w:b/>
          <w:bCs/>
          <w:rtl/>
        </w:rPr>
      </w:pPr>
      <w:r>
        <w:rPr>
          <w:rFonts w:hint="cs"/>
          <w:b/>
          <w:bCs/>
          <w:rtl/>
        </w:rPr>
        <w:t>ת.</w:t>
      </w:r>
      <w:r>
        <w:rPr>
          <w:rFonts w:hint="cs"/>
          <w:b/>
          <w:bCs/>
          <w:rtl/>
        </w:rPr>
        <w:tab/>
        <w:t>כן. לאחר שאני כבר שם 7 שנים כשבניתי חומה לפני השער. יש תצלומים לפני השער יש שרשרת. עשיתי סגירה הכל, כמו מבצר. כשעשיתי את השער התובעת קפצה לי שהם צריכים לעבור פה."</w:t>
      </w:r>
    </w:p>
    <w:p w:rsidR="00000000" w:rsidRDefault="004612AB">
      <w:pPr>
        <w:spacing w:line="240" w:lineRule="auto"/>
        <w:rPr>
          <w:rFonts w:hint="cs"/>
          <w:rtl/>
        </w:rPr>
      </w:pPr>
    </w:p>
    <w:p w:rsidR="00000000" w:rsidRDefault="004612AB">
      <w:pPr>
        <w:spacing w:line="240" w:lineRule="auto"/>
        <w:rPr>
          <w:rFonts w:hint="cs"/>
          <w:rtl/>
        </w:rPr>
      </w:pPr>
      <w:r>
        <w:rPr>
          <w:rFonts w:hint="cs"/>
          <w:rtl/>
        </w:rPr>
        <w:t xml:space="preserve">(פרוטוקול מיום </w:t>
      </w:r>
      <w:r>
        <w:rPr>
          <w:rFonts w:hint="cs"/>
          <w:rtl/>
        </w:rPr>
        <w:t>23.10.07 עמודים 5-6).</w:t>
      </w:r>
    </w:p>
    <w:p w:rsidR="00000000" w:rsidRDefault="004612AB">
      <w:pPr>
        <w:jc w:val="left"/>
        <w:rPr>
          <w:b/>
          <w:bCs/>
          <w:sz w:val="24"/>
          <w:u w:val="single"/>
          <w:rtl/>
        </w:rPr>
      </w:pPr>
    </w:p>
    <w:p w:rsidR="00000000" w:rsidRDefault="004612AB">
      <w:pPr>
        <w:rPr>
          <w:rtl/>
        </w:rPr>
      </w:pPr>
      <w:r>
        <w:rPr>
          <w:rFonts w:hint="cs"/>
          <w:sz w:val="24"/>
          <w:rtl/>
        </w:rPr>
        <w:t xml:space="preserve">על משמעותו של רישיון במקרקעין אומרת </w:t>
      </w:r>
      <w:r>
        <w:rPr>
          <w:rFonts w:hint="cs"/>
          <w:rtl/>
        </w:rPr>
        <w:t xml:space="preserve">פרופ' נ. זלצמן במאמרה " </w:t>
      </w:r>
      <w:r>
        <w:rPr>
          <w:rFonts w:hint="cs"/>
          <w:b/>
          <w:bCs/>
          <w:rtl/>
        </w:rPr>
        <w:t>רשיון במקרקעין</w:t>
      </w:r>
      <w:r>
        <w:rPr>
          <w:rFonts w:hint="cs"/>
          <w:rtl/>
        </w:rPr>
        <w:t>",  הפרקליט מ"ב[1995], בעמ' 24, כותבת כך:</w:t>
      </w:r>
    </w:p>
    <w:p w:rsidR="00000000" w:rsidRDefault="004612AB">
      <w:pPr>
        <w:ind w:left="720"/>
        <w:rPr>
          <w:rFonts w:hint="cs"/>
          <w:b/>
          <w:bCs/>
          <w:rtl/>
        </w:rPr>
      </w:pPr>
    </w:p>
    <w:p w:rsidR="00000000" w:rsidRDefault="004612AB">
      <w:pPr>
        <w:pStyle w:val="a6"/>
        <w:rPr>
          <w:rFonts w:hint="cs"/>
          <w:rtl/>
        </w:rPr>
      </w:pPr>
      <w:r>
        <w:rPr>
          <w:rFonts w:hint="cs"/>
          <w:rtl/>
        </w:rPr>
        <w:t>"רשיון במקרקעין משמעו היתר או רשות שנתן בעל המקרקעין... לאחר, להחזיק או להשתמש בנכס... ואפשר שתינתן על ידי בעל המקרק</w:t>
      </w:r>
      <w:r>
        <w:rPr>
          <w:rFonts w:hint="cs"/>
          <w:rtl/>
        </w:rPr>
        <w:t>עין , ללא כוונה ליצור התחייבות חוזרת כאקט של רצון טוב, או תלמד משתיקתו ואי מחאתו להחזקה או לשימוש שעושה אחר בנכס...".</w:t>
      </w:r>
    </w:p>
    <w:p w:rsidR="00000000" w:rsidRDefault="004612AB">
      <w:pPr>
        <w:rPr>
          <w:rFonts w:hint="cs"/>
          <w:rtl/>
        </w:rPr>
      </w:pPr>
    </w:p>
    <w:p w:rsidR="00000000" w:rsidRDefault="004612AB">
      <w:pPr>
        <w:rPr>
          <w:rFonts w:hint="cs"/>
          <w:rtl/>
        </w:rPr>
      </w:pPr>
      <w:r>
        <w:rPr>
          <w:rFonts w:hint="cs"/>
          <w:rtl/>
        </w:rPr>
        <w:t>ובעמוד 65:</w:t>
      </w:r>
    </w:p>
    <w:p w:rsidR="00000000" w:rsidRDefault="004612AB">
      <w:pPr>
        <w:rPr>
          <w:rFonts w:hint="cs"/>
          <w:b/>
          <w:bCs/>
          <w:rtl/>
        </w:rPr>
      </w:pPr>
    </w:p>
    <w:p w:rsidR="00000000" w:rsidRDefault="004612AB">
      <w:pPr>
        <w:spacing w:line="240" w:lineRule="auto"/>
        <w:ind w:left="720"/>
        <w:rPr>
          <w:rFonts w:hint="cs"/>
          <w:b/>
          <w:bCs/>
          <w:rtl/>
        </w:rPr>
      </w:pPr>
      <w:r>
        <w:rPr>
          <w:rFonts w:hint="cs"/>
          <w:b/>
          <w:bCs/>
          <w:rtl/>
        </w:rPr>
        <w:t xml:space="preserve">"בגדר המושג רשות מכללא נכללים כל אותם מצבים שבהם החזקה או השימוש של פלוני  אינם מעוגנים בהסכמה מפורשת שנתן בעל המקרקעין, אלא </w:t>
      </w:r>
      <w:r>
        <w:rPr>
          <w:rFonts w:hint="cs"/>
          <w:b/>
          <w:bCs/>
          <w:rtl/>
        </w:rPr>
        <w:t>בהסכמה הנלמדת ממחדלו של בעל המקרקעין לפעול לסילוקו של פלוני מן הנכס ... ההסכמה נלמדת ממשך הזמן שחלף ומהתנהגותו הפסיבית של בעל המקרקעין, בנסיבות המקרה, המעידה שהשלים עם נוכחותו של פלוני בנכס או עם השימוש שהוא עושה בנכס. ההסכמה הנלמדת משתיקתו של בעל המקרקעין</w:t>
      </w:r>
      <w:r>
        <w:rPr>
          <w:rFonts w:hint="cs"/>
          <w:b/>
          <w:bCs/>
          <w:rtl/>
        </w:rPr>
        <w:t xml:space="preserve"> מטהרת את החזקה או השימוש מיסוד אי החוקיות שדבק בו והופכת את מעשה העוולה למעשה ברשות".</w:t>
      </w:r>
    </w:p>
    <w:p w:rsidR="00000000" w:rsidRDefault="004612AB">
      <w:pPr>
        <w:rPr>
          <w:rFonts w:hint="cs"/>
          <w:sz w:val="24"/>
          <w:rtl/>
        </w:rPr>
      </w:pPr>
    </w:p>
    <w:p w:rsidR="00000000" w:rsidRDefault="004612AB">
      <w:pPr>
        <w:rPr>
          <w:rFonts w:hint="cs"/>
          <w:sz w:val="24"/>
          <w:rtl/>
        </w:rPr>
      </w:pPr>
      <w:r>
        <w:rPr>
          <w:rFonts w:hint="cs"/>
          <w:sz w:val="24"/>
          <w:rtl/>
        </w:rPr>
        <w:t>בענייננו, המדובר בנתבע אשר תפס חזקה, על פי הודאתו בנכס מקרקעין שאיו לו כל זכות בו, רק בשל העובדה כי היה ריק, וזאת לא לפני זמן רב, אלה מהעת האחרונה.</w:t>
      </w:r>
    </w:p>
    <w:p w:rsidR="00000000" w:rsidRDefault="004612AB">
      <w:pPr>
        <w:rPr>
          <w:rFonts w:hint="cs"/>
          <w:sz w:val="24"/>
          <w:rtl/>
        </w:rPr>
      </w:pPr>
    </w:p>
    <w:p w:rsidR="00000000" w:rsidRDefault="004612AB">
      <w:pPr>
        <w:rPr>
          <w:rFonts w:hint="cs"/>
          <w:sz w:val="24"/>
          <w:rtl/>
        </w:rPr>
      </w:pPr>
      <w:r>
        <w:rPr>
          <w:rFonts w:hint="cs"/>
          <w:sz w:val="24"/>
          <w:rtl/>
        </w:rPr>
        <w:t>השער החשמלי הותקן ר</w:t>
      </w:r>
      <w:r>
        <w:rPr>
          <w:rFonts w:hint="cs"/>
          <w:sz w:val="24"/>
          <w:rtl/>
        </w:rPr>
        <w:t>ק בשנת 2001, לפני מספר שנים.</w:t>
      </w:r>
    </w:p>
    <w:p w:rsidR="00000000" w:rsidRDefault="004612AB">
      <w:pPr>
        <w:rPr>
          <w:rFonts w:hint="cs"/>
          <w:sz w:val="24"/>
          <w:rtl/>
        </w:rPr>
      </w:pPr>
      <w:r>
        <w:rPr>
          <w:rFonts w:hint="cs"/>
          <w:sz w:val="24"/>
          <w:rtl/>
        </w:rPr>
        <w:t xml:space="preserve">על  מנת ליצור רישיון במקרקעין, היינו זכות להחזקת המקרקעין, אין די שיחלפו מספר מועט של שנים. </w:t>
      </w:r>
    </w:p>
    <w:p w:rsidR="00000000" w:rsidRDefault="004612AB">
      <w:pPr>
        <w:rPr>
          <w:rFonts w:hint="cs"/>
          <w:sz w:val="24"/>
          <w:rtl/>
        </w:rPr>
      </w:pPr>
      <w:r>
        <w:rPr>
          <w:rFonts w:hint="cs"/>
          <w:sz w:val="24"/>
          <w:rtl/>
        </w:rPr>
        <w:t>בענייננו, הנתבע בעצמו טוען כי הוא מחזיק בנכס הסמוך למגרש נשוא התובענה 11 שנים, הנתבע טוען בסעיף 19 לתצהירו, כי נכנס להתגורר בנכס הסמוך</w:t>
      </w:r>
      <w:r>
        <w:rPr>
          <w:rFonts w:hint="cs"/>
          <w:sz w:val="24"/>
          <w:rtl/>
        </w:rPr>
        <w:t xml:space="preserve"> למגרש נשוא דיוננו בשנת 1996. במהלך השנים השקיע ביצירת שביל במגרש, וברבות הימים הניח אספלט, לא ברור מתי, אך ידוע כי בשנת 2001 התקין שער חשמלי.</w:t>
      </w:r>
    </w:p>
    <w:p w:rsidR="00000000" w:rsidRDefault="004612AB">
      <w:pPr>
        <w:rPr>
          <w:rFonts w:hint="cs"/>
          <w:sz w:val="24"/>
          <w:rtl/>
        </w:rPr>
      </w:pPr>
    </w:p>
    <w:p w:rsidR="00000000" w:rsidRDefault="004612AB">
      <w:pPr>
        <w:rPr>
          <w:rFonts w:hint="cs"/>
          <w:sz w:val="24"/>
          <w:rtl/>
        </w:rPr>
      </w:pPr>
      <w:r>
        <w:rPr>
          <w:rFonts w:hint="cs"/>
          <w:sz w:val="24"/>
          <w:rtl/>
        </w:rPr>
        <w:t xml:space="preserve">העובדות המפורטות בתצהירו של הנתבע, גם אם אקבלן באופן מלא אינן משתכללות לטעמי לכדי יצירת רישיון במקרקעין, היינו, </w:t>
      </w:r>
      <w:r>
        <w:rPr>
          <w:rFonts w:hint="cs"/>
          <w:sz w:val="24"/>
          <w:rtl/>
        </w:rPr>
        <w:t xml:space="preserve">רשות מכללא. </w:t>
      </w:r>
    </w:p>
    <w:p w:rsidR="00000000" w:rsidRDefault="004612AB">
      <w:pPr>
        <w:rPr>
          <w:rFonts w:hint="cs"/>
          <w:sz w:val="24"/>
          <w:rtl/>
        </w:rPr>
      </w:pPr>
    </w:p>
    <w:p w:rsidR="00000000" w:rsidRDefault="004612AB">
      <w:pPr>
        <w:rPr>
          <w:rFonts w:hint="cs"/>
          <w:sz w:val="24"/>
          <w:rtl/>
        </w:rPr>
      </w:pPr>
      <w:r>
        <w:rPr>
          <w:rFonts w:hint="cs"/>
          <w:sz w:val="24"/>
          <w:rtl/>
        </w:rPr>
        <w:t>הנתבע אינו מחזיק בנכס נשוא התובענה, ללא התנגדות, די שנים כדי ליצור את ההסכמה והרישיון שנוצר בעקבות החזקה ארוכת שנים.</w:t>
      </w:r>
    </w:p>
    <w:p w:rsidR="00000000" w:rsidRDefault="004612AB">
      <w:pPr>
        <w:rPr>
          <w:rFonts w:hint="cs"/>
          <w:sz w:val="24"/>
          <w:rtl/>
        </w:rPr>
      </w:pPr>
    </w:p>
    <w:p w:rsidR="00000000" w:rsidRDefault="004612AB">
      <w:pPr>
        <w:rPr>
          <w:rFonts w:hint="cs"/>
          <w:sz w:val="24"/>
          <w:rtl/>
        </w:rPr>
      </w:pPr>
      <w:r>
        <w:rPr>
          <w:rFonts w:hint="cs"/>
          <w:sz w:val="24"/>
          <w:rtl/>
        </w:rPr>
        <w:t>הנתבע אישר בחקירתו כי נציגי התובעת התנגדו להתקנת השער עוד בשנת 2001, ולכן הטענה כי התובעת שתקה ונתנה הסכמתה אינה נכונה בעניי</w:t>
      </w:r>
      <w:r>
        <w:rPr>
          <w:rFonts w:hint="cs"/>
          <w:sz w:val="24"/>
          <w:rtl/>
        </w:rPr>
        <w:t>ננו. אך כאמור לעיל, גם אם הייתה שתיקה במשך השנים, פער הזמן שחלף לא מספיק כדי ליצור רישיון במקרקעין גם אם כל הנסיבות העובדתיות המפורטות בתצהירו של הנתבע נכונות.</w:t>
      </w:r>
    </w:p>
    <w:p w:rsidR="00000000" w:rsidRDefault="004612AB">
      <w:pPr>
        <w:rPr>
          <w:rFonts w:hint="cs"/>
          <w:sz w:val="24"/>
          <w:rtl/>
        </w:rPr>
      </w:pPr>
    </w:p>
    <w:p w:rsidR="00000000" w:rsidRDefault="004612AB">
      <w:pPr>
        <w:rPr>
          <w:rFonts w:hint="cs"/>
          <w:sz w:val="24"/>
          <w:rtl/>
        </w:rPr>
      </w:pPr>
      <w:r>
        <w:rPr>
          <w:rFonts w:hint="cs"/>
          <w:sz w:val="24"/>
          <w:rtl/>
        </w:rPr>
        <w:t>לפיכך, אני סבורה כי ביחס לתביעת הפינוי אין בפי הנתבע כל הגנה ראויה.</w:t>
      </w:r>
    </w:p>
    <w:p w:rsidR="00000000" w:rsidRDefault="004612AB">
      <w:pPr>
        <w:rPr>
          <w:rFonts w:hint="cs"/>
          <w:sz w:val="24"/>
          <w:rtl/>
        </w:rPr>
      </w:pPr>
    </w:p>
    <w:p w:rsidR="00000000" w:rsidRDefault="004612AB">
      <w:pPr>
        <w:rPr>
          <w:rFonts w:hint="cs"/>
          <w:sz w:val="24"/>
          <w:rtl/>
        </w:rPr>
      </w:pPr>
      <w:r>
        <w:rPr>
          <w:rFonts w:hint="cs"/>
          <w:sz w:val="24"/>
          <w:rtl/>
        </w:rPr>
        <w:t>הנתבע טוען להשקעות במקרקעי</w:t>
      </w:r>
      <w:r>
        <w:rPr>
          <w:rFonts w:hint="cs"/>
          <w:sz w:val="24"/>
          <w:rtl/>
        </w:rPr>
        <w:t>ן, ואילו התובעת טוענת כי אין המדובר בהשקעות אלא המדובר בנזקים, שכן כעת תידרש לעקור את האספלט שהונח, ואין לה כלל צורך בשער החשמלי.</w:t>
      </w:r>
    </w:p>
    <w:p w:rsidR="00000000" w:rsidRDefault="004612AB">
      <w:pPr>
        <w:rPr>
          <w:rFonts w:hint="cs"/>
          <w:sz w:val="24"/>
          <w:rtl/>
        </w:rPr>
      </w:pPr>
    </w:p>
    <w:p w:rsidR="00000000" w:rsidRDefault="004612AB">
      <w:pPr>
        <w:rPr>
          <w:rFonts w:hint="cs"/>
          <w:sz w:val="24"/>
          <w:rtl/>
        </w:rPr>
      </w:pPr>
      <w:r>
        <w:rPr>
          <w:rFonts w:hint="cs"/>
          <w:sz w:val="24"/>
          <w:rtl/>
        </w:rPr>
        <w:t>הנתבע טוען כי יש להורות על מתן רשות להתגונן על מנת שיוכח את שיעור השקעותיו, שכן לטעמו על התובעת  לפצותו בגין השקעותיו.</w:t>
      </w:r>
    </w:p>
    <w:p w:rsidR="00000000" w:rsidRDefault="004612AB">
      <w:pPr>
        <w:rPr>
          <w:rFonts w:hint="cs"/>
          <w:sz w:val="24"/>
          <w:rtl/>
        </w:rPr>
      </w:pPr>
    </w:p>
    <w:p w:rsidR="00000000" w:rsidRDefault="004612AB">
      <w:pPr>
        <w:rPr>
          <w:rFonts w:hint="cs"/>
          <w:sz w:val="24"/>
          <w:rtl/>
        </w:rPr>
      </w:pPr>
      <w:r>
        <w:rPr>
          <w:rFonts w:hint="cs"/>
          <w:sz w:val="24"/>
          <w:rtl/>
        </w:rPr>
        <w:t>שקלתי</w:t>
      </w:r>
      <w:r>
        <w:rPr>
          <w:rFonts w:hint="cs"/>
          <w:sz w:val="24"/>
          <w:rtl/>
        </w:rPr>
        <w:t xml:space="preserve"> האם יש מקום להורות על מתן רשות להתגונן על מנת שהנתבע יוכל להוכיח את שיעור השקעותיו? האם יש להתנות את הפינוי בבחינת השאלה אם יש מקום לפיצויו של הנתבע בתשלום בגין ההשקעות שנטען כי עשה בנכס?</w:t>
      </w:r>
    </w:p>
    <w:p w:rsidR="00000000" w:rsidRDefault="004612AB">
      <w:pPr>
        <w:rPr>
          <w:rFonts w:hint="cs"/>
          <w:sz w:val="24"/>
          <w:rtl/>
        </w:rPr>
      </w:pPr>
    </w:p>
    <w:p w:rsidR="00000000" w:rsidRDefault="004612AB">
      <w:pPr>
        <w:rPr>
          <w:rFonts w:hint="cs"/>
          <w:sz w:val="24"/>
          <w:rtl/>
        </w:rPr>
      </w:pPr>
      <w:r>
        <w:rPr>
          <w:rFonts w:hint="cs"/>
          <w:sz w:val="24"/>
          <w:rtl/>
        </w:rPr>
        <w:t>המדובר בפלישה טרייה. הנתבע אינו מפרש את מועד כניסתו לנכס, שכן לטענ</w:t>
      </w:r>
      <w:r>
        <w:rPr>
          <w:rFonts w:hint="cs"/>
          <w:sz w:val="24"/>
          <w:rtl/>
        </w:rPr>
        <w:t>תו נכנס לנכס סמוך בשנת 1996, ואילו המועד היחידי הידוע לביהמ"ש ביחס לנכס נשוא התובענה הינו 2001 אז הותקן השער החשמלי. כלומר, עסקינן בפלישה טרייה, וקבלת בקשתו של הנתבע נוגדת את תחושת הצדק, כאשר התובעת תידרש לנהל הליך ארוך ומורכב כנגד צד שברי שאין לו כל זכות,</w:t>
      </w:r>
      <w:r>
        <w:rPr>
          <w:rFonts w:hint="cs"/>
          <w:sz w:val="24"/>
          <w:rtl/>
        </w:rPr>
        <w:t xml:space="preserve"> שכן כאמור לעיל נוכח מיעוטו של הזמן בו מחזיק הנתבע בנכס נשוא התובענה, לא נשתכלל רישיון מכללא, לעומת זאת, הנתבע יהא רשאי לעתור לקבלת פיצוי כספי בתובענה נפרדת.</w:t>
      </w:r>
    </w:p>
    <w:p w:rsidR="00000000" w:rsidRDefault="004612AB">
      <w:pPr>
        <w:rPr>
          <w:rFonts w:hint="cs"/>
          <w:sz w:val="24"/>
          <w:rtl/>
        </w:rPr>
      </w:pPr>
    </w:p>
    <w:p w:rsidR="00000000" w:rsidRDefault="004612AB">
      <w:pPr>
        <w:rPr>
          <w:rFonts w:hint="cs"/>
          <w:sz w:val="24"/>
          <w:rtl/>
        </w:rPr>
      </w:pPr>
      <w:r>
        <w:rPr>
          <w:rFonts w:hint="cs"/>
          <w:sz w:val="24"/>
          <w:rtl/>
        </w:rPr>
        <w:t>לפיכך, אין מקום לקבל את הבקשה.</w:t>
      </w:r>
    </w:p>
    <w:p w:rsidR="00000000" w:rsidRDefault="004612AB">
      <w:pPr>
        <w:rPr>
          <w:rFonts w:hint="cs"/>
          <w:sz w:val="24"/>
          <w:rtl/>
        </w:rPr>
      </w:pPr>
    </w:p>
    <w:p w:rsidR="00000000" w:rsidRDefault="004612AB">
      <w:pPr>
        <w:rPr>
          <w:rFonts w:hint="cs"/>
          <w:sz w:val="24"/>
          <w:rtl/>
        </w:rPr>
      </w:pPr>
      <w:r>
        <w:rPr>
          <w:rFonts w:hint="cs"/>
          <w:sz w:val="24"/>
          <w:rtl/>
        </w:rPr>
        <w:t>אני דוחה את הבקשה למתן רשות להתגונן.</w:t>
      </w:r>
    </w:p>
    <w:p w:rsidR="00000000" w:rsidRDefault="004612AB">
      <w:pPr>
        <w:rPr>
          <w:rFonts w:hint="cs"/>
          <w:sz w:val="24"/>
          <w:rtl/>
        </w:rPr>
      </w:pPr>
    </w:p>
    <w:p w:rsidR="00000000" w:rsidRDefault="004612AB">
      <w:pPr>
        <w:rPr>
          <w:rFonts w:hint="cs"/>
          <w:sz w:val="24"/>
          <w:rtl/>
        </w:rPr>
      </w:pPr>
      <w:r>
        <w:rPr>
          <w:rFonts w:hint="cs"/>
          <w:sz w:val="24"/>
          <w:rtl/>
        </w:rPr>
        <w:t>ככל שהנתבע ידרוש פיצוי בגין</w:t>
      </w:r>
      <w:r>
        <w:rPr>
          <w:rFonts w:hint="cs"/>
          <w:sz w:val="24"/>
          <w:rtl/>
        </w:rPr>
        <w:t xml:space="preserve"> השקעותיו יוכל לעשות כן בתובענה נפרדת.</w:t>
      </w:r>
    </w:p>
    <w:p w:rsidR="00000000" w:rsidRDefault="004612AB">
      <w:pPr>
        <w:rPr>
          <w:rFonts w:hint="cs"/>
          <w:sz w:val="24"/>
          <w:rtl/>
        </w:rPr>
      </w:pPr>
    </w:p>
    <w:p w:rsidR="00000000" w:rsidRDefault="004612AB">
      <w:pPr>
        <w:rPr>
          <w:rFonts w:hint="cs"/>
          <w:sz w:val="24"/>
          <w:rtl/>
        </w:rPr>
      </w:pPr>
      <w:r>
        <w:rPr>
          <w:rFonts w:hint="cs"/>
          <w:sz w:val="24"/>
          <w:rtl/>
        </w:rPr>
        <w:t>על מנת לאפשר לנתבע להתארגן, לרבות לדאוג להכנת חוות דעת שמאי מטעמו, ככל שיבחר לעתור בתובענה נפרדת לפיצוי, אני קובעת כי הנתבע יפנה את הנכס עד ולא יאוחר מיום 1.3.08.</w:t>
      </w:r>
    </w:p>
    <w:p w:rsidR="00000000" w:rsidRDefault="004612AB">
      <w:pPr>
        <w:rPr>
          <w:rFonts w:hint="cs"/>
          <w:sz w:val="24"/>
          <w:rtl/>
        </w:rPr>
      </w:pPr>
    </w:p>
    <w:p w:rsidR="00000000" w:rsidRDefault="004612AB">
      <w:pPr>
        <w:rPr>
          <w:rFonts w:hint="cs"/>
          <w:sz w:val="24"/>
          <w:rtl/>
        </w:rPr>
      </w:pPr>
      <w:r>
        <w:rPr>
          <w:rFonts w:hint="cs"/>
          <w:sz w:val="24"/>
          <w:rtl/>
        </w:rPr>
        <w:t>ניתן בזאת צו לפיצול סעדים כמבוקש על ידי התובעת.</w:t>
      </w:r>
    </w:p>
    <w:p w:rsidR="00000000" w:rsidRDefault="004612AB">
      <w:pPr>
        <w:rPr>
          <w:rFonts w:hint="cs"/>
          <w:sz w:val="24"/>
          <w:rtl/>
        </w:rPr>
      </w:pPr>
    </w:p>
    <w:p w:rsidR="00000000" w:rsidRDefault="004612AB">
      <w:pPr>
        <w:rPr>
          <w:rFonts w:hint="cs"/>
          <w:sz w:val="24"/>
          <w:rtl/>
        </w:rPr>
      </w:pPr>
      <w:r>
        <w:rPr>
          <w:rFonts w:hint="cs"/>
          <w:sz w:val="24"/>
          <w:rtl/>
        </w:rPr>
        <w:t>הבק</w:t>
      </w:r>
      <w:r>
        <w:rPr>
          <w:rFonts w:hint="cs"/>
          <w:sz w:val="24"/>
          <w:rtl/>
        </w:rPr>
        <w:t>שה למתון רשות להתגונן נדחית.</w:t>
      </w:r>
    </w:p>
    <w:p w:rsidR="00000000" w:rsidRDefault="004612AB">
      <w:pPr>
        <w:rPr>
          <w:rFonts w:hint="cs"/>
          <w:sz w:val="24"/>
          <w:rtl/>
        </w:rPr>
      </w:pPr>
    </w:p>
    <w:p w:rsidR="00000000" w:rsidRDefault="004612AB">
      <w:pPr>
        <w:rPr>
          <w:rFonts w:hint="cs"/>
          <w:sz w:val="24"/>
          <w:rtl/>
        </w:rPr>
      </w:pPr>
      <w:r>
        <w:rPr>
          <w:rFonts w:hint="cs"/>
          <w:sz w:val="24"/>
          <w:rtl/>
        </w:rPr>
        <w:t>בנסיבות העניין אין צו להוצאות.</w:t>
      </w:r>
    </w:p>
    <w:p w:rsidR="00000000" w:rsidRDefault="004612AB">
      <w:pPr>
        <w:rPr>
          <w:rFonts w:hint="cs"/>
          <w:color w:val="FFFFFF"/>
          <w:sz w:val="2"/>
          <w:szCs w:val="2"/>
          <w:rtl/>
        </w:rPr>
      </w:pPr>
    </w:p>
    <w:p w:rsidR="00000000" w:rsidRDefault="004612AB">
      <w:pPr>
        <w:rPr>
          <w:color w:val="FFFFFF"/>
          <w:sz w:val="2"/>
          <w:szCs w:val="2"/>
          <w:rtl/>
        </w:rPr>
      </w:pPr>
      <w:r>
        <w:rPr>
          <w:color w:val="FFFFFF"/>
          <w:sz w:val="2"/>
          <w:szCs w:val="2"/>
          <w:rtl/>
        </w:rPr>
        <w:t>5129371</w:t>
      </w:r>
    </w:p>
    <w:p w:rsidR="00000000" w:rsidRDefault="004612AB">
      <w:pPr>
        <w:rPr>
          <w:rFonts w:hint="cs"/>
          <w:sz w:val="24"/>
          <w:rtl/>
        </w:rPr>
      </w:pPr>
      <w:r>
        <w:rPr>
          <w:color w:val="FFFFFF"/>
          <w:sz w:val="2"/>
          <w:szCs w:val="2"/>
          <w:rtl/>
        </w:rPr>
        <w:t>54678313</w:t>
      </w:r>
    </w:p>
    <w:p w:rsidR="00000000" w:rsidRDefault="004612AB">
      <w:pPr>
        <w:rPr>
          <w:rFonts w:hint="cs"/>
          <w:sz w:val="24"/>
          <w:rtl/>
        </w:rPr>
      </w:pPr>
      <w:r>
        <w:rPr>
          <w:rFonts w:hint="cs"/>
          <w:sz w:val="24"/>
          <w:rtl/>
        </w:rPr>
        <w:t>התובעת זכאית לעתור לחתימה על פסיקתא לפינוי הנתבע מהנכס נשוא התובענה.</w:t>
      </w:r>
    </w:p>
    <w:p w:rsidR="00000000" w:rsidRDefault="004612AB">
      <w:pPr>
        <w:rPr>
          <w:rFonts w:hint="cs"/>
          <w:sz w:val="24"/>
          <w:rtl/>
        </w:rPr>
      </w:pPr>
      <w:r>
        <w:rPr>
          <w:rFonts w:hint="cs"/>
          <w:sz w:val="24"/>
          <w:rtl/>
        </w:rPr>
        <w:t>מזכירות תשלח ההחלטה לצדדים.</w:t>
      </w:r>
    </w:p>
    <w:p w:rsidR="00000000" w:rsidRDefault="004612AB">
      <w:pPr>
        <w:pStyle w:val="3"/>
        <w:rPr>
          <w:rFonts w:hint="cs"/>
          <w:color w:val="FFFFFF"/>
          <w:sz w:val="2"/>
          <w:szCs w:val="2"/>
          <w:rtl/>
        </w:rPr>
      </w:pPr>
      <w:bookmarkStart w:id="10" w:name="Decision1"/>
    </w:p>
    <w:p w:rsidR="00000000" w:rsidRDefault="004612AB">
      <w:pPr>
        <w:rPr>
          <w:color w:val="FFFFFF"/>
          <w:sz w:val="2"/>
          <w:szCs w:val="2"/>
          <w:rtl/>
        </w:rPr>
      </w:pPr>
      <w:r>
        <w:rPr>
          <w:color w:val="FFFFFF"/>
          <w:sz w:val="2"/>
          <w:szCs w:val="2"/>
          <w:rtl/>
        </w:rPr>
        <w:t>5129371</w:t>
      </w:r>
    </w:p>
    <w:p w:rsidR="00000000" w:rsidRDefault="004612AB">
      <w:pPr>
        <w:rPr>
          <w:rFonts w:hint="cs"/>
          <w:rtl/>
        </w:rPr>
      </w:pPr>
      <w:r>
        <w:rPr>
          <w:color w:val="FFFFFF"/>
          <w:sz w:val="2"/>
          <w:szCs w:val="2"/>
          <w:rtl/>
        </w:rPr>
        <w:t>54678313</w:t>
      </w:r>
    </w:p>
    <w:p w:rsidR="00000000" w:rsidRDefault="004612AB">
      <w:pPr>
        <w:rPr>
          <w:rFonts w:hint="cs"/>
          <w:b/>
          <w:bCs/>
          <w:rtl/>
        </w:rPr>
      </w:pPr>
    </w:p>
    <w:p w:rsidR="00000000" w:rsidRDefault="004612AB">
      <w:pPr>
        <w:keepNext/>
        <w:jc w:val="left"/>
        <w:rPr>
          <w:rFonts w:hAnsi="David"/>
          <w:color w:val="000000"/>
          <w:sz w:val="22"/>
          <w:szCs w:val="22"/>
          <w:rtl/>
        </w:rPr>
      </w:pPr>
    </w:p>
    <w:p w:rsidR="00000000" w:rsidRDefault="004612AB">
      <w:pPr>
        <w:keepNext/>
        <w:jc w:val="left"/>
        <w:rPr>
          <w:rFonts w:hAnsi="David"/>
          <w:color w:val="000000"/>
          <w:sz w:val="22"/>
          <w:szCs w:val="22"/>
          <w:rtl/>
        </w:rPr>
      </w:pPr>
      <w:r>
        <w:rPr>
          <w:rFonts w:hAnsi="David"/>
          <w:color w:val="000000"/>
          <w:sz w:val="22"/>
          <w:szCs w:val="22"/>
          <w:rtl/>
        </w:rPr>
        <w:t>רחל ערקובי 54678313-47518/07</w:t>
      </w:r>
    </w:p>
    <w:p w:rsidR="00000000" w:rsidRDefault="004612AB">
      <w:pPr>
        <w:rPr>
          <w:rFonts w:hint="cs"/>
          <w:rtl/>
        </w:rPr>
      </w:pPr>
      <w:r>
        <w:rPr>
          <w:b/>
          <w:bCs/>
          <w:rtl/>
        </w:rPr>
        <w:t xml:space="preserve">ניתנה היום, כ"ג בטבת, תשס"ח (1 </w:t>
      </w:r>
      <w:r>
        <w:rPr>
          <w:b/>
          <w:bCs/>
          <w:rtl/>
        </w:rPr>
        <w:t xml:space="preserve">בינואר 2008), בהעדר הצדדים. </w:t>
      </w:r>
      <w:r>
        <w:rPr>
          <w:rFonts w:hint="cs"/>
          <w:rtl/>
        </w:rPr>
        <w:t xml:space="preserve">                                                                                </w:t>
      </w:r>
    </w:p>
    <w:tbl>
      <w:tblPr>
        <w:bidiVisual/>
        <w:tblW w:w="0" w:type="auto"/>
        <w:tblInd w:w="6153" w:type="dxa"/>
        <w:tblBorders>
          <w:top w:val="single" w:sz="4" w:space="0" w:color="auto"/>
        </w:tblBorders>
        <w:tblLook w:val="0000"/>
      </w:tblPr>
      <w:tblGrid>
        <w:gridCol w:w="2376"/>
      </w:tblGrid>
      <w:tr w:rsidR="004612AB" w:rsidTr="004612AB">
        <w:tc>
          <w:tcPr>
            <w:tcW w:w="2376" w:type="dxa"/>
            <w:tcBorders>
              <w:top w:val="single" w:sz="4" w:space="0" w:color="auto"/>
              <w:left w:val="nil"/>
              <w:bottom w:val="nil"/>
              <w:right w:val="nil"/>
            </w:tcBorders>
          </w:tcPr>
          <w:p w:rsidR="00000000" w:rsidRDefault="004612AB">
            <w:pPr>
              <w:jc w:val="center"/>
              <w:rPr>
                <w:b/>
                <w:bCs/>
              </w:rPr>
            </w:pPr>
            <w:r>
              <w:rPr>
                <w:rFonts w:hint="cs"/>
                <w:b/>
                <w:bCs/>
                <w:rtl/>
              </w:rPr>
              <w:t>רחל ערקובי, שופטת</w:t>
            </w:r>
          </w:p>
        </w:tc>
      </w:tr>
    </w:tbl>
    <w:bookmarkEnd w:id="10"/>
    <w:p w:rsidR="00000000" w:rsidRDefault="004612AB">
      <w:pPr>
        <w:jc w:val="left"/>
        <w:rPr>
          <w:color w:val="000000"/>
          <w:rtl/>
        </w:rPr>
      </w:pPr>
      <w:r>
        <w:rPr>
          <w:color w:val="000000"/>
          <w:rtl/>
        </w:rPr>
        <w:t>נוסח מסמך זה כפוף לשינויי ניסוח ועריכה</w:t>
      </w:r>
    </w:p>
    <w:sectPr w:rsidR="00000000">
      <w:headerReference w:type="even" r:id="rId7"/>
      <w:headerReference w:type="default" r:id="rId8"/>
      <w:footerReference w:type="even" r:id="rId9"/>
      <w:footerReference w:type="default" r:id="rId10"/>
      <w:endnotePr>
        <w:numFmt w:val="lowerLetter"/>
      </w:endnotePr>
      <w:pgSz w:w="12240" w:h="15840"/>
      <w:pgMar w:top="1701"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612AB">
      <w:pPr>
        <w:spacing w:line="240" w:lineRule="auto"/>
      </w:pPr>
      <w:r>
        <w:separator/>
      </w:r>
    </w:p>
  </w:endnote>
  <w:endnote w:type="continuationSeparator" w:id="1">
    <w:p w:rsidR="00000000" w:rsidRDefault="004612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TopType Jerushal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12AB">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sz w:val="24"/>
        <w:rtl/>
      </w:rPr>
      <w:t>1</w:t>
    </w:r>
    <w:r>
      <w:rPr>
        <w:rFonts w:hAnsi="FrankRuehl" w:cs="FrankRuehl"/>
        <w:sz w:val="24"/>
        <w:rtl/>
      </w:rPr>
      <w:fldChar w:fldCharType="end"/>
    </w:r>
  </w:p>
  <w:p w:rsidR="00000000" w:rsidRDefault="004612AB">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000000" w:rsidRDefault="004612AB">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C:\nevo\nevo\2008-01-01 - 355 - orly\s07047518-179.doc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12AB">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noProof/>
        <w:sz w:val="24"/>
        <w:rtl/>
      </w:rPr>
      <w:t>1</w:t>
    </w:r>
    <w:r>
      <w:rPr>
        <w:rFonts w:hAnsi="FrankRuehl" w:cs="FrankRuehl"/>
        <w:sz w:val="24"/>
        <w:rtl/>
      </w:rPr>
      <w:fldChar w:fldCharType="end"/>
    </w:r>
  </w:p>
  <w:p w:rsidR="00000000" w:rsidRDefault="004612AB">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w:t>
    </w:r>
    <w:r>
      <w:rPr>
        <w:rFonts w:cs="TopType Jerushalmi"/>
        <w:color w:val="000000"/>
        <w:sz w:val="28"/>
        <w:szCs w:val="22"/>
        <w:rtl/>
      </w:rPr>
      <w:t>המאגר המשפטי הישראלי</w:t>
    </w:r>
  </w:p>
  <w:p w:rsidR="00000000" w:rsidRDefault="004612AB">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C:\nevo\nevo\2008-01-01 - 355 - orly\s07047518-179.doc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612AB">
      <w:pPr>
        <w:spacing w:line="240" w:lineRule="auto"/>
      </w:pPr>
      <w:r>
        <w:separator/>
      </w:r>
    </w:p>
  </w:footnote>
  <w:footnote w:type="continuationSeparator" w:id="1">
    <w:p w:rsidR="00000000" w:rsidRDefault="004612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12AB">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תא (ת"א) 47518/07</w:t>
    </w:r>
    <w:r>
      <w:rPr>
        <w:rFonts w:hAnsi="David"/>
        <w:color w:val="000000"/>
        <w:sz w:val="22"/>
        <w:szCs w:val="22"/>
        <w:rtl/>
      </w:rPr>
      <w:tab/>
      <w:t xml:space="preserve"> טקסי המרכז בע"מ נ' מרקי בוזגלו מרדכי</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12AB">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תא (ת"א) 47518/07</w:t>
    </w:r>
    <w:r>
      <w:rPr>
        <w:rFonts w:hAnsi="David"/>
        <w:color w:val="000000"/>
        <w:sz w:val="22"/>
        <w:szCs w:val="22"/>
        <w:rtl/>
      </w:rPr>
      <w:tab/>
      <w:t xml:space="preserve"> טקסי המרכז בע</w:t>
    </w:r>
    <w:r>
      <w:rPr>
        <w:rFonts w:hAnsi="David"/>
        <w:color w:val="000000"/>
        <w:sz w:val="22"/>
        <w:szCs w:val="22"/>
        <w:rtl/>
      </w:rPr>
      <w:t>"מ נ' מרקי בוזגלו מרדכי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CFA"/>
    <w:multiLevelType w:val="hybridMultilevel"/>
    <w:tmpl w:val="B87C2288"/>
    <w:lvl w:ilvl="0" w:tplc="F77A8708">
      <w:start w:val="400"/>
      <w:numFmt w:val="hebrew1"/>
      <w:lvlText w:val="%1."/>
      <w:lvlJc w:val="left"/>
      <w:pPr>
        <w:tabs>
          <w:tab w:val="num" w:pos="720"/>
        </w:tabs>
        <w:ind w:left="720" w:right="720" w:hanging="660"/>
      </w:p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num w:numId="1">
    <w:abstractNumId w:val="0"/>
  </w:num>
  <w:num w:numId="2">
    <w:abstractNumId w:val="0"/>
    <w:lvlOverride w:ilvl="0">
      <w:startOverride w:val="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numFmt w:val="lowerLetter"/>
    <w:endnote w:id="0"/>
    <w:endnote w:id="1"/>
  </w:endnotePr>
  <w:compat/>
  <w:docVars>
    <w:docVar w:name="lastQuoteMode" w:val="חזור ל-Normal"/>
    <w:docVar w:name="MyInfo" w:val="This document was extracted from Nevo's site"/>
  </w:docVars>
  <w:rsids>
    <w:rsidRoot w:val="004612AB"/>
    <w:rsid w:val="004612A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360" w:lineRule="auto"/>
      <w:jc w:val="both"/>
    </w:pPr>
    <w:rPr>
      <w:rFonts w:cs="David"/>
      <w:szCs w:val="24"/>
      <w:lang w:eastAsia="he-IL"/>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jc w:val="left"/>
      <w:outlineLvl w:val="3"/>
    </w:pPr>
    <w:rPr>
      <w:b/>
      <w:bCs/>
      <w:sz w:val="24"/>
      <w:u w:val="single"/>
    </w:rPr>
  </w:style>
  <w:style w:type="paragraph" w:styleId="7">
    <w:name w:val="heading 7"/>
    <w:basedOn w:val="a"/>
    <w:next w:val="a"/>
    <w:qFormat/>
    <w:pPr>
      <w:keepNext/>
      <w:jc w:val="left"/>
      <w:outlineLvl w:val="6"/>
    </w:pPr>
    <w:rPr>
      <w:b/>
      <w:bCs/>
      <w:szCs w:val="26"/>
    </w:rPr>
  </w:style>
  <w:style w:type="paragraph" w:styleId="8">
    <w:name w:val="heading 8"/>
    <w:basedOn w:val="a"/>
    <w:next w:val="a"/>
    <w:qFormat/>
    <w:pPr>
      <w:keepNext/>
      <w:jc w:val="left"/>
      <w:outlineLvl w:val="7"/>
    </w:pPr>
    <w:rPr>
      <w:b/>
      <w:bCs/>
      <w:szCs w:val="26"/>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style>
  <w:style w:type="paragraph" w:styleId="a4">
    <w:name w:val="footer"/>
    <w:basedOn w:val="a"/>
    <w:semiHidden/>
    <w:pPr>
      <w:tabs>
        <w:tab w:val="center" w:pos="4153"/>
        <w:tab w:val="right" w:pos="8306"/>
      </w:tabs>
      <w:snapToGrid w:val="0"/>
    </w:pPr>
    <w:rPr>
      <w:sz w:val="22"/>
    </w:rPr>
  </w:style>
  <w:style w:type="paragraph" w:styleId="a5">
    <w:name w:val="Title"/>
    <w:basedOn w:val="a"/>
    <w:qFormat/>
    <w:pPr>
      <w:spacing w:line="240" w:lineRule="auto"/>
      <w:jc w:val="center"/>
    </w:pPr>
    <w:rPr>
      <w:b/>
      <w:bCs/>
      <w:sz w:val="32"/>
      <w:szCs w:val="32"/>
      <w:u w:val="single"/>
    </w:rPr>
  </w:style>
  <w:style w:type="paragraph" w:styleId="a6">
    <w:name w:val="Body Text Indent"/>
    <w:basedOn w:val="a"/>
    <w:semiHidden/>
    <w:pPr>
      <w:spacing w:line="240" w:lineRule="auto"/>
      <w:ind w:left="720"/>
    </w:pPr>
    <w:rPr>
      <w:b/>
      <w:bCs/>
    </w:rPr>
  </w:style>
  <w:style w:type="paragraph" w:styleId="a7">
    <w:name w:val="Normal"/>
    <w:pPr>
      <w:bidi/>
      <w:snapToGrid w:val="0"/>
    </w:pPr>
    <w:rPr>
      <w:rFonts w:cs="David"/>
      <w:szCs w:val="24"/>
      <w:lang w:eastAsia="he-IL"/>
    </w:rPr>
  </w:style>
  <w:style w:type="paragraph" w:customStyle="1" w:styleId="a8">
    <w:name w:val="שמות"/>
    <w:basedOn w:val="a"/>
    <w:pPr>
      <w:suppressLineNumbers/>
      <w:snapToGrid w:val="0"/>
    </w:pPr>
    <w:rPr>
      <w:b/>
      <w:bCs/>
      <w:sz w:val="22"/>
    </w:rPr>
  </w:style>
  <w:style w:type="paragraph" w:styleId="a9">
    <w:name w:val="Signature"/>
    <w:basedOn w:val="2"/>
    <w:pPr>
      <w:suppressLineNumbers/>
    </w:pPr>
    <w:rPr>
      <w:rFonts w:hAnsi="Arial"/>
      <w:bCs w:val="0"/>
      <w:szCs w:val="24"/>
    </w:rPr>
  </w:style>
  <w:style w:type="paragraph" w:customStyle="1" w:styleId="aa">
    <w:name w:val="החלטה"/>
    <w:basedOn w:val="a7"/>
    <w:pPr>
      <w:suppressLineNumbers/>
    </w:pPr>
    <w:rPr>
      <w:bCs/>
    </w:rPr>
  </w:style>
  <w:style w:type="paragraph" w:customStyle="1" w:styleId="ab">
    <w:name w:val="חקירה"/>
    <w:basedOn w:val="a7"/>
    <w:pPr>
      <w:suppressLineNumbers/>
    </w:pPr>
  </w:style>
  <w:style w:type="character" w:styleId="ac">
    <w:name w:val="page number"/>
    <w:basedOn w:val="a0"/>
    <w:semiHidden/>
    <w:rPr>
      <w:rFonts w:cs="David"/>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6753</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lpstr>
    </vt:vector>
  </TitlesOfParts>
  <Company>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cp:lastModifiedBy>
  <cp:revision>2</cp:revision>
  <cp:lastPrinted>2008-01-01T08:50:00Z</cp:lastPrinted>
  <dcterms:created xsi:type="dcterms:W3CDTF">2014-08-20T08:06:00Z</dcterms:created>
  <dcterms:modified xsi:type="dcterms:W3CDTF">2014-08-20T08:06:00Z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החלטה</vt:lpwstr>
  </property>
  <property fmtid="{D5CDD505-2E9C-101B-9397-08002B2CF9AE}" pid="4" name="PROCESS">
    <vt:lpwstr>תא</vt:lpwstr>
  </property>
  <property fmtid="{D5CDD505-2E9C-101B-9397-08002B2CF9AE}" pid="5" name="PROCNUM">
    <vt:lpwstr>47518</vt:lpwstr>
  </property>
  <property fmtid="{D5CDD505-2E9C-101B-9397-08002B2CF9AE}" pid="6" name="PROCYEAR">
    <vt:lpwstr>07</vt:lpwstr>
  </property>
  <property fmtid="{D5CDD505-2E9C-101B-9397-08002B2CF9AE}" pid="7" name="APPELLANT">
    <vt:lpwstr>טקסי המרכז בע#מ</vt:lpwstr>
  </property>
  <property fmtid="{D5CDD505-2E9C-101B-9397-08002B2CF9AE}" pid="8" name="APPELLEE">
    <vt:lpwstr>מרקי בוזגלו מרדכי;עופר שערים אוטמטיים;עודד שני</vt:lpwstr>
  </property>
  <property fmtid="{D5CDD505-2E9C-101B-9397-08002B2CF9AE}" pid="9" name="LAWYER">
    <vt:lpwstr>כהן חיים;מג'ר משה</vt:lpwstr>
  </property>
  <property fmtid="{D5CDD505-2E9C-101B-9397-08002B2CF9AE}" pid="10" name="JUDGE">
    <vt:lpwstr>רחל ערקובי</vt:lpwstr>
  </property>
  <property fmtid="{D5CDD505-2E9C-101B-9397-08002B2CF9AE}" pid="11" name="CITY">
    <vt:lpwstr>ת"א</vt:lpwstr>
  </property>
  <property fmtid="{D5CDD505-2E9C-101B-9397-08002B2CF9AE}" pid="12" name="DATE">
    <vt:lpwstr>20080101</vt:lpwstr>
  </property>
  <property fmtid="{D5CDD505-2E9C-101B-9397-08002B2CF9AE}" pid="13" name="TYPE_N_DATE">
    <vt:lpwstr>38020080101</vt:lpwstr>
  </property>
  <property fmtid="{D5CDD505-2E9C-101B-9397-08002B2CF9AE}" pid="14" name="WORDNUMPAGES">
    <vt:lpwstr>6</vt:lpwstr>
  </property>
  <property fmtid="{D5CDD505-2E9C-101B-9397-08002B2CF9AE}" pid="15" name="ISABSTRACT">
    <vt:lpwstr>Y</vt:lpwstr>
  </property>
  <property fmtid="{D5CDD505-2E9C-101B-9397-08002B2CF9AE}" pid="16" name="VOLUME">
    <vt:lpwstr/>
  </property>
  <property fmtid="{D5CDD505-2E9C-101B-9397-08002B2CF9AE}" pid="17" name="PART">
    <vt:lpwstr/>
  </property>
  <property fmtid="{D5CDD505-2E9C-101B-9397-08002B2CF9AE}" pid="18" name="PAGE">
    <vt:lpwstr/>
  </property>
  <property fmtid="{D5CDD505-2E9C-101B-9397-08002B2CF9AE}" pid="19" name="PADIMAIL">
    <vt:lpwstr/>
  </property>
  <property fmtid="{D5CDD505-2E9C-101B-9397-08002B2CF9AE}" pid="20" name="DELEMATA">
    <vt:lpwstr/>
  </property>
  <property fmtid="{D5CDD505-2E9C-101B-9397-08002B2CF9AE}" pid="21" name="LINKK1">
    <vt:lpwstr/>
  </property>
  <property fmtid="{D5CDD505-2E9C-101B-9397-08002B2CF9AE}" pid="22" name="LINKK2">
    <vt:lpwstr/>
  </property>
  <property fmtid="{D5CDD505-2E9C-101B-9397-08002B2CF9AE}" pid="23" name="LINKK3">
    <vt:lpwstr/>
  </property>
  <property fmtid="{D5CDD505-2E9C-101B-9397-08002B2CF9AE}" pid="24" name="LINKK4">
    <vt:lpwstr/>
  </property>
  <property fmtid="{D5CDD505-2E9C-101B-9397-08002B2CF9AE}" pid="25" name="LINKK5">
    <vt:lpwstr/>
  </property>
  <property fmtid="{D5CDD505-2E9C-101B-9397-08002B2CF9AE}" pid="26" name="LINKK6">
    <vt:lpwstr/>
  </property>
  <property fmtid="{D5CDD505-2E9C-101B-9397-08002B2CF9AE}" pid="27" name="LINKK7">
    <vt:lpwstr/>
  </property>
  <property fmtid="{D5CDD505-2E9C-101B-9397-08002B2CF9AE}" pid="28" name="LINKK8">
    <vt:lpwstr/>
  </property>
  <property fmtid="{D5CDD505-2E9C-101B-9397-08002B2CF9AE}" pid="29" name="LINKK9">
    <vt:lpwstr/>
  </property>
  <property fmtid="{D5CDD505-2E9C-101B-9397-08002B2CF9AE}" pid="30" name="LINKI1">
    <vt:lpwstr/>
  </property>
  <property fmtid="{D5CDD505-2E9C-101B-9397-08002B2CF9AE}" pid="31" name="LINKI2">
    <vt:lpwstr/>
  </property>
  <property fmtid="{D5CDD505-2E9C-101B-9397-08002B2CF9AE}" pid="32" name="LINKI3">
    <vt:lpwstr/>
  </property>
</Properties>
</file>