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bidiVisual/>
        <w:tblW w:w="0" w:type="auto"/>
        <w:jc w:val="center"/>
        <w:tblLook w:val="0000"/>
      </w:tblPr>
      <w:tblGrid>
        <w:gridCol w:w="5047"/>
        <w:gridCol w:w="3674"/>
      </w:tblGrid>
      <w:tr w:rsidR="002427C9" w:rsidRPr="00A32BC0">
        <w:trPr>
          <w:trHeight w:hRule="exact" w:val="670"/>
          <w:jc w:val="center"/>
        </w:trPr>
        <w:tc>
          <w:tcPr>
            <w:tcW w:w="8721" w:type="dxa"/>
            <w:gridSpan w:val="2"/>
          </w:tcPr>
          <w:p w:rsidR="002427C9" w:rsidRPr="00A32BC0" w:rsidRDefault="00A32BC0">
            <w:pPr>
              <w:pStyle w:val="a3"/>
              <w:jc w:val="center"/>
              <w:rPr>
                <w:rFonts w:ascii="Tahoma" w:hAnsi="Tahoma" w:cs="Tahoma"/>
                <w:noProof w:val="0"/>
                <w:color w:val="000080"/>
                <w:rtl/>
              </w:rPr>
            </w:pPr>
            <w:bookmarkStart w:id="0" w:name="FirstLawyer"/>
            <w:bookmarkStart w:id="1" w:name="LastJudge"/>
            <w:r w:rsidRPr="00A32BC0">
              <w:rPr>
                <w:rFonts w:ascii="Tahoma" w:hAnsi="Tahoma" w:cs="Tahoma"/>
                <w:b/>
                <w:bCs/>
                <w:noProof w:val="0"/>
                <w:color w:val="000080"/>
                <w:rtl/>
              </w:rPr>
              <w:t>בית המשפט המחוזי בתל אביב - יפו בשבתו כבית-משפט לעניינים מנהליים</w:t>
            </w:r>
          </w:p>
        </w:tc>
      </w:tr>
      <w:tr w:rsidR="002427C9" w:rsidRPr="00A32BC0">
        <w:trPr>
          <w:trHeight w:val="337"/>
          <w:jc w:val="center"/>
        </w:trPr>
        <w:tc>
          <w:tcPr>
            <w:tcW w:w="5047" w:type="dxa"/>
          </w:tcPr>
          <w:p w:rsidR="002427C9" w:rsidRPr="00A32BC0" w:rsidRDefault="002427C9">
            <w:pPr>
              <w:rPr>
                <w:b/>
                <w:bCs/>
                <w:noProof w:val="0"/>
                <w:sz w:val="26"/>
                <w:szCs w:val="26"/>
                <w:rtl/>
              </w:rPr>
            </w:pPr>
          </w:p>
        </w:tc>
        <w:tc>
          <w:tcPr>
            <w:tcW w:w="3674" w:type="dxa"/>
          </w:tcPr>
          <w:p w:rsidR="002427C9" w:rsidRPr="00A32BC0" w:rsidRDefault="002427C9">
            <w:pPr>
              <w:pStyle w:val="a3"/>
              <w:jc w:val="right"/>
              <w:rPr>
                <w:b/>
                <w:bCs/>
                <w:noProof w:val="0"/>
                <w:sz w:val="26"/>
                <w:szCs w:val="26"/>
                <w:rtl/>
              </w:rPr>
            </w:pPr>
          </w:p>
        </w:tc>
      </w:tr>
      <w:tr w:rsidR="002427C9" w:rsidRPr="00A32BC0">
        <w:trPr>
          <w:trHeight w:val="337"/>
          <w:jc w:val="center"/>
        </w:trPr>
        <w:tc>
          <w:tcPr>
            <w:tcW w:w="8721" w:type="dxa"/>
            <w:gridSpan w:val="2"/>
          </w:tcPr>
          <w:p w:rsidR="002427C9" w:rsidRPr="00A32BC0" w:rsidRDefault="00A32BC0">
            <w:pPr>
              <w:rPr>
                <w:b/>
                <w:bCs/>
                <w:noProof w:val="0"/>
                <w:sz w:val="26"/>
                <w:szCs w:val="26"/>
                <w:rtl/>
              </w:rPr>
            </w:pPr>
            <w:r w:rsidRPr="00A32BC0">
              <w:rPr>
                <w:b/>
                <w:bCs/>
                <w:noProof w:val="0"/>
                <w:sz w:val="26"/>
                <w:szCs w:val="26"/>
                <w:rtl/>
              </w:rPr>
              <w:t>עת"מ 2328-06 נאות לירן ואח' נ' וע' לתכנון ובני ואח'</w:t>
            </w:r>
          </w:p>
          <w:p w:rsidR="002427C9" w:rsidRPr="00A32BC0" w:rsidRDefault="002427C9">
            <w:pPr>
              <w:rPr>
                <w:rtl/>
              </w:rPr>
            </w:pPr>
          </w:p>
        </w:tc>
      </w:tr>
    </w:tbl>
    <w:p w:rsidR="002427C9" w:rsidRPr="00A32BC0" w:rsidRDefault="00A32BC0" w:rsidP="004023AE">
      <w:pPr>
        <w:pStyle w:val="a3"/>
        <w:rPr>
          <w:rtl/>
        </w:rPr>
      </w:pPr>
      <w:r w:rsidRPr="00A32BC0">
        <w:rPr>
          <w:noProof w:val="0"/>
          <w:rtl/>
        </w:rPr>
        <w:t xml:space="preserve"> </w:t>
      </w:r>
    </w:p>
    <w:tbl>
      <w:tblPr>
        <w:bidiVisual/>
        <w:tblW w:w="8820" w:type="dxa"/>
        <w:jc w:val="center"/>
        <w:tblLook w:val="01E0"/>
      </w:tblPr>
      <w:tblGrid>
        <w:gridCol w:w="743"/>
        <w:gridCol w:w="2506"/>
        <w:gridCol w:w="5571"/>
      </w:tblGrid>
      <w:tr w:rsidR="002427C9" w:rsidRPr="00A32BC0">
        <w:trPr>
          <w:jc w:val="center"/>
        </w:trPr>
        <w:tc>
          <w:tcPr>
            <w:tcW w:w="743" w:type="dxa"/>
          </w:tcPr>
          <w:p w:rsidR="002427C9" w:rsidRPr="004023AE" w:rsidRDefault="00A32BC0" w:rsidP="004023AE">
            <w:pPr>
              <w:spacing w:before="120" w:after="120"/>
              <w:jc w:val="both"/>
              <w:rPr>
                <w:rFonts w:ascii="Arial" w:hAnsi="Arial"/>
                <w:b/>
                <w:bCs/>
                <w:sz w:val="26"/>
                <w:szCs w:val="26"/>
              </w:rPr>
            </w:pPr>
            <w:r w:rsidRPr="004023AE">
              <w:rPr>
                <w:rFonts w:ascii="Arial" w:hAnsi="Arial" w:hint="cs"/>
                <w:b/>
                <w:bCs/>
                <w:sz w:val="26"/>
                <w:szCs w:val="26"/>
                <w:rtl/>
              </w:rPr>
              <w:t>ב</w:t>
            </w:r>
            <w:r w:rsidRPr="004023AE">
              <w:rPr>
                <w:rFonts w:ascii="Arial" w:hAnsi="Arial"/>
                <w:b/>
                <w:bCs/>
                <w:sz w:val="26"/>
                <w:szCs w:val="26"/>
                <w:rtl/>
              </w:rPr>
              <w:t xml:space="preserve">פני </w:t>
            </w:r>
          </w:p>
        </w:tc>
        <w:tc>
          <w:tcPr>
            <w:tcW w:w="8077" w:type="dxa"/>
            <w:gridSpan w:val="2"/>
          </w:tcPr>
          <w:p w:rsidR="002427C9" w:rsidRPr="004023AE" w:rsidRDefault="00A32BC0" w:rsidP="004023AE">
            <w:pPr>
              <w:spacing w:before="120" w:after="120"/>
              <w:rPr>
                <w:rFonts w:ascii="Arial" w:hAnsi="Arial" w:cs="FrankRuehl"/>
                <w:b/>
                <w:bCs/>
                <w:sz w:val="26"/>
                <w:szCs w:val="26"/>
                <w:highlight w:val="yellow"/>
              </w:rPr>
            </w:pPr>
            <w:r w:rsidRPr="004023AE">
              <w:rPr>
                <w:rFonts w:ascii="Arial" w:hAnsi="Arial" w:hint="cs"/>
                <w:b/>
                <w:bCs/>
                <w:sz w:val="26"/>
                <w:szCs w:val="26"/>
                <w:rtl/>
              </w:rPr>
              <w:t>כב' ה</w:t>
            </w:r>
            <w:r w:rsidRPr="004023AE">
              <w:rPr>
                <w:rFonts w:hint="cs"/>
                <w:b/>
                <w:bCs/>
                <w:sz w:val="26"/>
                <w:szCs w:val="26"/>
                <w:rtl/>
              </w:rPr>
              <w:t>שופטת</w:t>
            </w:r>
            <w:r w:rsidRPr="004023AE">
              <w:rPr>
                <w:rFonts w:ascii="Arial" w:hAnsi="Arial" w:hint="cs"/>
                <w:b/>
                <w:bCs/>
                <w:sz w:val="26"/>
                <w:szCs w:val="26"/>
                <w:rtl/>
              </w:rPr>
              <w:t xml:space="preserve">  </w:t>
            </w:r>
            <w:r w:rsidRPr="004023AE">
              <w:rPr>
                <w:rFonts w:hint="cs"/>
                <w:b/>
                <w:bCs/>
                <w:sz w:val="26"/>
                <w:szCs w:val="26"/>
                <w:rtl/>
              </w:rPr>
              <w:t>יהודית שיצר</w:t>
            </w:r>
          </w:p>
        </w:tc>
      </w:tr>
      <w:tr w:rsidR="002427C9" w:rsidRPr="00A32BC0">
        <w:trPr>
          <w:jc w:val="center"/>
        </w:trPr>
        <w:tc>
          <w:tcPr>
            <w:tcW w:w="3249" w:type="dxa"/>
            <w:gridSpan w:val="2"/>
          </w:tcPr>
          <w:p w:rsidR="002427C9" w:rsidRPr="004023AE" w:rsidRDefault="00A32BC0" w:rsidP="004023AE">
            <w:pPr>
              <w:bidi w:val="0"/>
              <w:spacing w:before="120" w:after="120"/>
              <w:jc w:val="right"/>
              <w:rPr>
                <w:rFonts w:ascii="Arial" w:hAnsi="Arial"/>
                <w:b/>
                <w:bCs/>
                <w:noProof w:val="0"/>
                <w:sz w:val="26"/>
                <w:szCs w:val="26"/>
              </w:rPr>
            </w:pPr>
            <w:bookmarkStart w:id="2" w:name="FirstAppellant"/>
            <w:r w:rsidRPr="004023AE">
              <w:rPr>
                <w:rFonts w:hint="cs"/>
                <w:b/>
                <w:bCs/>
                <w:sz w:val="26"/>
                <w:szCs w:val="26"/>
                <w:rtl/>
              </w:rPr>
              <w:t>העותרת</w:t>
            </w:r>
          </w:p>
        </w:tc>
        <w:tc>
          <w:tcPr>
            <w:tcW w:w="5571" w:type="dxa"/>
          </w:tcPr>
          <w:p w:rsidR="002427C9" w:rsidRPr="004023AE" w:rsidRDefault="00A32BC0" w:rsidP="004023AE">
            <w:pPr>
              <w:spacing w:before="120" w:after="120"/>
              <w:rPr>
                <w:b/>
                <w:bCs/>
                <w:noProof w:val="0"/>
                <w:sz w:val="26"/>
                <w:szCs w:val="26"/>
              </w:rPr>
            </w:pPr>
            <w:r w:rsidRPr="004023AE">
              <w:rPr>
                <w:rFonts w:hint="cs"/>
                <w:b/>
                <w:bCs/>
                <w:sz w:val="26"/>
                <w:szCs w:val="26"/>
                <w:rtl/>
              </w:rPr>
              <w:t>נאות לירן</w:t>
            </w:r>
            <w:r w:rsidRPr="004023AE">
              <w:rPr>
                <w:rFonts w:hint="cs"/>
                <w:b/>
                <w:bCs/>
                <w:sz w:val="26"/>
                <w:szCs w:val="26"/>
                <w:rtl/>
              </w:rPr>
              <w:br/>
              <w:t>ע"י ב"כ עו"ד אייל פלשן</w:t>
            </w:r>
            <w:r w:rsidRPr="004023AE">
              <w:rPr>
                <w:rFonts w:hint="cs"/>
                <w:b/>
                <w:bCs/>
                <w:sz w:val="26"/>
                <w:szCs w:val="26"/>
                <w:rtl/>
              </w:rPr>
              <w:br/>
            </w:r>
            <w:r w:rsidRPr="004023AE">
              <w:rPr>
                <w:b/>
                <w:bCs/>
                <w:sz w:val="26"/>
                <w:szCs w:val="26"/>
                <w:rtl/>
              </w:rPr>
              <w:t xml:space="preserve">     </w:t>
            </w:r>
          </w:p>
        </w:tc>
      </w:tr>
      <w:bookmarkEnd w:id="2"/>
      <w:tr w:rsidR="002427C9" w:rsidRPr="00A32BC0">
        <w:trPr>
          <w:jc w:val="center"/>
        </w:trPr>
        <w:tc>
          <w:tcPr>
            <w:tcW w:w="8820" w:type="dxa"/>
            <w:gridSpan w:val="3"/>
          </w:tcPr>
          <w:p w:rsidR="002427C9" w:rsidRPr="004023AE" w:rsidRDefault="00A32BC0" w:rsidP="004023AE">
            <w:pPr>
              <w:spacing w:before="120" w:after="120"/>
              <w:jc w:val="center"/>
              <w:rPr>
                <w:rFonts w:ascii="Arial" w:hAnsi="Arial" w:hint="cs"/>
                <w:b/>
                <w:bCs/>
                <w:noProof w:val="0"/>
                <w:sz w:val="26"/>
                <w:szCs w:val="26"/>
              </w:rPr>
            </w:pPr>
            <w:r w:rsidRPr="004023AE">
              <w:rPr>
                <w:rFonts w:ascii="Arial" w:hAnsi="Arial"/>
                <w:b/>
                <w:bCs/>
                <w:noProof w:val="0"/>
                <w:sz w:val="26"/>
                <w:szCs w:val="26"/>
                <w:rtl/>
              </w:rPr>
              <w:t>נגד</w:t>
            </w:r>
          </w:p>
        </w:tc>
      </w:tr>
      <w:tr w:rsidR="002427C9" w:rsidRPr="00A32BC0">
        <w:trPr>
          <w:jc w:val="center"/>
        </w:trPr>
        <w:tc>
          <w:tcPr>
            <w:tcW w:w="3249" w:type="dxa"/>
            <w:gridSpan w:val="2"/>
          </w:tcPr>
          <w:p w:rsidR="002427C9" w:rsidRPr="004023AE" w:rsidRDefault="00A32BC0" w:rsidP="004023AE">
            <w:pPr>
              <w:spacing w:before="120" w:after="120"/>
              <w:rPr>
                <w:rFonts w:ascii="Arial" w:hAnsi="Arial"/>
                <w:b/>
                <w:bCs/>
                <w:noProof w:val="0"/>
                <w:sz w:val="26"/>
                <w:szCs w:val="26"/>
              </w:rPr>
            </w:pPr>
            <w:r w:rsidRPr="004023AE">
              <w:rPr>
                <w:rFonts w:hint="cs"/>
                <w:b/>
                <w:bCs/>
                <w:sz w:val="26"/>
                <w:szCs w:val="26"/>
                <w:rtl/>
              </w:rPr>
              <w:t>המשיבה</w:t>
            </w:r>
          </w:p>
        </w:tc>
        <w:tc>
          <w:tcPr>
            <w:tcW w:w="5571" w:type="dxa"/>
          </w:tcPr>
          <w:p w:rsidR="002427C9" w:rsidRPr="004023AE" w:rsidRDefault="00A32BC0" w:rsidP="004023AE">
            <w:pPr>
              <w:spacing w:before="120" w:after="120"/>
              <w:rPr>
                <w:b/>
                <w:bCs/>
                <w:noProof w:val="0"/>
                <w:sz w:val="26"/>
                <w:szCs w:val="26"/>
                <w:rtl/>
              </w:rPr>
            </w:pPr>
            <w:r w:rsidRPr="004023AE">
              <w:rPr>
                <w:rFonts w:hint="cs"/>
                <w:b/>
                <w:bCs/>
                <w:sz w:val="26"/>
                <w:szCs w:val="26"/>
                <w:rtl/>
              </w:rPr>
              <w:t>הוועדה המחוזית לתכנון ובניה מחוז המרכז</w:t>
            </w:r>
            <w:r w:rsidRPr="004023AE">
              <w:rPr>
                <w:rFonts w:hint="cs"/>
                <w:b/>
                <w:bCs/>
                <w:sz w:val="26"/>
                <w:szCs w:val="26"/>
                <w:rtl/>
              </w:rPr>
              <w:br/>
              <w:t>ע"י ב"כ מפרקליטות מחוז ת"א עו"ד סירוטה ליבנה</w:t>
            </w:r>
            <w:r w:rsidRPr="004023AE">
              <w:rPr>
                <w:b/>
                <w:bCs/>
                <w:sz w:val="26"/>
                <w:szCs w:val="26"/>
                <w:rtl/>
              </w:rPr>
              <w:t xml:space="preserve">     </w:t>
            </w:r>
          </w:p>
        </w:tc>
      </w:tr>
    </w:tbl>
    <w:p w:rsidR="002427C9" w:rsidRPr="00A32BC0" w:rsidRDefault="002427C9">
      <w:pPr>
        <w:suppressLineNumbers/>
        <w:rPr>
          <w:rtl/>
        </w:rPr>
      </w:pPr>
    </w:p>
    <w:p w:rsidR="002427C9" w:rsidRDefault="002427C9">
      <w:pPr>
        <w:suppressLineNumbers/>
        <w:rPr>
          <w:rFonts w:hint="cs"/>
          <w:rtl/>
        </w:rPr>
      </w:pPr>
    </w:p>
    <w:p w:rsidR="004023AE" w:rsidRDefault="004023AE" w:rsidP="004023AE">
      <w:pPr>
        <w:pStyle w:val="a7"/>
        <w:pBdr>
          <w:top w:val="single" w:sz="4" w:space="1" w:color="auto"/>
          <w:bottom w:val="single" w:sz="4" w:space="1" w:color="auto"/>
        </w:pBdr>
        <w:spacing w:after="120" w:line="320" w:lineRule="exact"/>
        <w:ind w:left="0"/>
        <w:jc w:val="both"/>
        <w:rPr>
          <w:rFonts w:ascii="Times New Roman" w:hAnsi="Times New Roman" w:cs="FrankRuehl" w:hint="cs"/>
          <w:sz w:val="24"/>
          <w:szCs w:val="26"/>
          <w:rtl/>
        </w:rPr>
      </w:pPr>
      <w:bookmarkStart w:id="3" w:name="ABSTRACT_START"/>
      <w:bookmarkEnd w:id="3"/>
      <w:r>
        <w:rPr>
          <w:rFonts w:ascii="Times New Roman" w:hAnsi="Times New Roman" w:cs="FrankRuehl"/>
          <w:sz w:val="24"/>
          <w:szCs w:val="26"/>
          <w:rtl/>
        </w:rPr>
        <w:t>מיני-רציו:</w:t>
      </w:r>
    </w:p>
    <w:p w:rsidR="004023AE" w:rsidRPr="004023AE" w:rsidRDefault="004023AE" w:rsidP="004023AE">
      <w:pPr>
        <w:pStyle w:val="a7"/>
        <w:pBdr>
          <w:top w:val="single" w:sz="4" w:space="1" w:color="auto"/>
          <w:bottom w:val="single" w:sz="4" w:space="1" w:color="auto"/>
        </w:pBdr>
        <w:spacing w:after="120" w:line="320" w:lineRule="exact"/>
        <w:ind w:left="0"/>
        <w:jc w:val="both"/>
        <w:rPr>
          <w:rFonts w:ascii="Times New Roman" w:hAnsi="Times New Roman" w:cs="FrankRuehl" w:hint="cs"/>
          <w:sz w:val="24"/>
          <w:szCs w:val="26"/>
        </w:rPr>
      </w:pPr>
      <w:r>
        <w:rPr>
          <w:rFonts w:ascii="Times New Roman" w:hAnsi="Times New Roman" w:cs="FrankRuehl" w:hint="cs"/>
          <w:sz w:val="24"/>
          <w:szCs w:val="26"/>
          <w:rtl/>
        </w:rPr>
        <w:t xml:space="preserve">* </w:t>
      </w:r>
      <w:r w:rsidRPr="004023AE">
        <w:rPr>
          <w:rFonts w:ascii="Times New Roman" w:hAnsi="Times New Roman" w:cs="FrankRuehl"/>
          <w:sz w:val="24"/>
          <w:szCs w:val="26"/>
          <w:rtl/>
        </w:rPr>
        <w:t>ועדות התכנון אינן כבולות להחלטות</w:t>
      </w:r>
      <w:r w:rsidRPr="004023AE">
        <w:rPr>
          <w:rFonts w:ascii="Times New Roman" w:hAnsi="Times New Roman" w:cs="FrankRuehl" w:hint="cs"/>
          <w:sz w:val="24"/>
          <w:szCs w:val="26"/>
          <w:rtl/>
        </w:rPr>
        <w:t>יהן</w:t>
      </w:r>
      <w:r w:rsidRPr="004023AE">
        <w:rPr>
          <w:rFonts w:ascii="Times New Roman" w:hAnsi="Times New Roman" w:cs="FrankRuehl"/>
          <w:sz w:val="24"/>
          <w:szCs w:val="26"/>
          <w:rtl/>
        </w:rPr>
        <w:t xml:space="preserve"> </w:t>
      </w:r>
      <w:r w:rsidRPr="004023AE">
        <w:rPr>
          <w:rFonts w:ascii="Times New Roman" w:hAnsi="Times New Roman" w:cs="FrankRuehl" w:hint="cs"/>
          <w:sz w:val="24"/>
          <w:szCs w:val="26"/>
          <w:rtl/>
        </w:rPr>
        <w:t>ה</w:t>
      </w:r>
      <w:r w:rsidRPr="004023AE">
        <w:rPr>
          <w:rFonts w:ascii="Times New Roman" w:hAnsi="Times New Roman" w:cs="FrankRuehl"/>
          <w:sz w:val="24"/>
          <w:szCs w:val="26"/>
          <w:rtl/>
        </w:rPr>
        <w:t>קודמות ורשאיות לשנות תכניות קיימות</w:t>
      </w:r>
      <w:r w:rsidRPr="004023AE">
        <w:rPr>
          <w:rFonts w:ascii="Times New Roman" w:hAnsi="Times New Roman" w:cs="FrankRuehl" w:hint="cs"/>
          <w:sz w:val="24"/>
          <w:szCs w:val="26"/>
          <w:rtl/>
        </w:rPr>
        <w:t xml:space="preserve">. </w:t>
      </w:r>
      <w:r w:rsidRPr="004023AE">
        <w:rPr>
          <w:rFonts w:ascii="Times New Roman" w:hAnsi="Times New Roman" w:cs="FrankRuehl"/>
          <w:sz w:val="24"/>
          <w:szCs w:val="26"/>
          <w:rtl/>
        </w:rPr>
        <w:t xml:space="preserve">במקרים של עבירות בנייה חריגות, די בשיקול זה </w:t>
      </w:r>
      <w:r w:rsidRPr="004023AE">
        <w:rPr>
          <w:rFonts w:ascii="Times New Roman" w:hAnsi="Times New Roman" w:cs="FrankRuehl" w:hint="cs"/>
          <w:sz w:val="24"/>
          <w:szCs w:val="26"/>
          <w:rtl/>
        </w:rPr>
        <w:t>כדי</w:t>
      </w:r>
      <w:r w:rsidRPr="004023AE">
        <w:rPr>
          <w:rFonts w:ascii="Times New Roman" w:hAnsi="Times New Roman" w:cs="FrankRuehl"/>
          <w:sz w:val="24"/>
          <w:szCs w:val="26"/>
          <w:rtl/>
        </w:rPr>
        <w:t xml:space="preserve"> להצדיק את סירוב רשויות התכנון לאשר תכנית</w:t>
      </w:r>
      <w:r w:rsidRPr="004023AE">
        <w:rPr>
          <w:rFonts w:ascii="Times New Roman" w:hAnsi="Times New Roman" w:cs="FrankRuehl" w:hint="cs"/>
          <w:sz w:val="24"/>
          <w:szCs w:val="26"/>
          <w:rtl/>
        </w:rPr>
        <w:t>.</w:t>
      </w:r>
      <w:r w:rsidRPr="004023AE">
        <w:rPr>
          <w:rFonts w:ascii="Times New Roman" w:hAnsi="Times New Roman" w:cs="FrankRuehl"/>
          <w:sz w:val="24"/>
          <w:szCs w:val="26"/>
          <w:rtl/>
        </w:rPr>
        <w:t xml:space="preserve"> </w:t>
      </w:r>
      <w:r w:rsidRPr="004023AE">
        <w:rPr>
          <w:rFonts w:ascii="Times New Roman" w:hAnsi="Times New Roman" w:cs="FrankRuehl" w:hint="cs"/>
          <w:sz w:val="24"/>
          <w:szCs w:val="26"/>
          <w:rtl/>
        </w:rPr>
        <w:t>במקרה דנן החלטת הועדה לא חרגה ממתחם הסבירות ואין להתערב בה.</w:t>
      </w:r>
    </w:p>
    <w:p w:rsidR="004023AE" w:rsidRDefault="004023AE" w:rsidP="004023AE">
      <w:pPr>
        <w:pStyle w:val="a7"/>
        <w:pBdr>
          <w:top w:val="single" w:sz="4" w:space="1" w:color="auto"/>
          <w:bottom w:val="single" w:sz="4" w:space="1" w:color="auto"/>
        </w:pBdr>
        <w:spacing w:after="120" w:line="320" w:lineRule="exact"/>
        <w:ind w:left="0"/>
        <w:jc w:val="both"/>
        <w:rPr>
          <w:rFonts w:ascii="Times New Roman" w:hAnsi="Times New Roman" w:cs="FrankRuehl"/>
          <w:sz w:val="24"/>
          <w:szCs w:val="26"/>
          <w:rtl/>
        </w:rPr>
      </w:pPr>
      <w:r>
        <w:rPr>
          <w:rFonts w:ascii="Times New Roman" w:hAnsi="Times New Roman" w:cs="FrankRuehl"/>
          <w:sz w:val="24"/>
          <w:szCs w:val="26"/>
          <w:rtl/>
        </w:rPr>
        <w:t>* משפט מינהלי – בית-המשפט לעניינים מינהליים – היקף הביקורת</w:t>
      </w:r>
    </w:p>
    <w:p w:rsidR="004023AE" w:rsidRDefault="004023AE" w:rsidP="004023AE">
      <w:pPr>
        <w:pStyle w:val="a7"/>
        <w:pBdr>
          <w:top w:val="single" w:sz="4" w:space="1" w:color="auto"/>
          <w:bottom w:val="single" w:sz="4" w:space="1" w:color="auto"/>
        </w:pBdr>
        <w:spacing w:after="120" w:line="320" w:lineRule="exact"/>
        <w:ind w:left="0"/>
        <w:jc w:val="both"/>
        <w:rPr>
          <w:rFonts w:ascii="Times New Roman" w:hAnsi="Times New Roman" w:cs="FrankRuehl"/>
          <w:sz w:val="24"/>
          <w:szCs w:val="26"/>
          <w:rtl/>
        </w:rPr>
      </w:pPr>
      <w:r>
        <w:rPr>
          <w:rFonts w:ascii="Times New Roman" w:hAnsi="Times New Roman" w:cs="FrankRuehl"/>
          <w:sz w:val="24"/>
          <w:szCs w:val="26"/>
          <w:rtl/>
        </w:rPr>
        <w:t>* משפט מינהלי – החלטות – מתחם הסבירות</w:t>
      </w:r>
    </w:p>
    <w:p w:rsidR="004023AE" w:rsidRDefault="004023AE" w:rsidP="004023AE">
      <w:pPr>
        <w:pStyle w:val="a7"/>
        <w:pBdr>
          <w:top w:val="single" w:sz="4" w:space="1" w:color="auto"/>
          <w:bottom w:val="single" w:sz="4" w:space="1" w:color="auto"/>
        </w:pBdr>
        <w:spacing w:after="120" w:line="320" w:lineRule="exact"/>
        <w:ind w:left="0"/>
        <w:jc w:val="both"/>
        <w:rPr>
          <w:rFonts w:ascii="Times New Roman" w:hAnsi="Times New Roman" w:cs="FrankRuehl"/>
          <w:sz w:val="24"/>
          <w:szCs w:val="26"/>
          <w:rtl/>
        </w:rPr>
      </w:pPr>
      <w:r>
        <w:rPr>
          <w:rFonts w:ascii="Times New Roman" w:hAnsi="Times New Roman" w:cs="FrankRuehl"/>
          <w:sz w:val="24"/>
          <w:szCs w:val="26"/>
          <w:rtl/>
        </w:rPr>
        <w:t>* משפט מינהלי – ועדות התכנון והבנייה – התערבות בית המשפט</w:t>
      </w:r>
    </w:p>
    <w:p w:rsidR="004023AE" w:rsidRDefault="004023AE" w:rsidP="004023AE">
      <w:pPr>
        <w:pStyle w:val="a7"/>
        <w:pBdr>
          <w:top w:val="single" w:sz="4" w:space="1" w:color="auto"/>
          <w:bottom w:val="single" w:sz="4" w:space="1" w:color="auto"/>
        </w:pBdr>
        <w:spacing w:after="120" w:line="320" w:lineRule="exact"/>
        <w:ind w:left="0"/>
        <w:jc w:val="both"/>
        <w:rPr>
          <w:rFonts w:ascii="Times New Roman" w:hAnsi="Times New Roman" w:cs="FrankRuehl"/>
          <w:sz w:val="24"/>
          <w:szCs w:val="26"/>
          <w:rtl/>
        </w:rPr>
      </w:pPr>
      <w:r>
        <w:rPr>
          <w:rFonts w:ascii="Times New Roman" w:hAnsi="Times New Roman" w:cs="FrankRuehl"/>
          <w:sz w:val="24"/>
          <w:szCs w:val="26"/>
          <w:rtl/>
        </w:rPr>
        <w:t>* משפט מינהלי – ועדות התכנון והבנייה – סמכויותיהן</w:t>
      </w:r>
    </w:p>
    <w:p w:rsidR="004023AE" w:rsidRDefault="004023AE" w:rsidP="004023AE">
      <w:pPr>
        <w:pStyle w:val="a7"/>
        <w:pBdr>
          <w:top w:val="single" w:sz="4" w:space="1" w:color="auto"/>
          <w:bottom w:val="single" w:sz="4" w:space="1" w:color="auto"/>
        </w:pBdr>
        <w:spacing w:after="120" w:line="320" w:lineRule="exact"/>
        <w:ind w:left="0"/>
        <w:jc w:val="both"/>
        <w:rPr>
          <w:rFonts w:ascii="Times New Roman" w:hAnsi="Times New Roman" w:cs="FrankRuehl"/>
          <w:sz w:val="24"/>
          <w:szCs w:val="26"/>
          <w:rtl/>
        </w:rPr>
      </w:pPr>
      <w:r>
        <w:rPr>
          <w:rFonts w:ascii="Times New Roman" w:hAnsi="Times New Roman" w:cs="FrankRuehl"/>
          <w:sz w:val="24"/>
          <w:szCs w:val="26"/>
          <w:rtl/>
        </w:rPr>
        <w:t xml:space="preserve">* משפט מינהלי – שיקול-דעת – ועדות התכנון והבניה </w:t>
      </w:r>
    </w:p>
    <w:p w:rsidR="004023AE" w:rsidRDefault="004023AE" w:rsidP="004023AE">
      <w:pPr>
        <w:pStyle w:val="a7"/>
        <w:pBdr>
          <w:top w:val="single" w:sz="4" w:space="1" w:color="auto"/>
          <w:bottom w:val="single" w:sz="4" w:space="1" w:color="auto"/>
        </w:pBdr>
        <w:spacing w:after="120" w:line="320" w:lineRule="exact"/>
        <w:ind w:left="0"/>
        <w:jc w:val="both"/>
        <w:rPr>
          <w:rFonts w:ascii="Times New Roman" w:hAnsi="Times New Roman" w:cs="FrankRuehl"/>
          <w:sz w:val="24"/>
          <w:szCs w:val="26"/>
          <w:rtl/>
        </w:rPr>
      </w:pPr>
      <w:r>
        <w:rPr>
          <w:rFonts w:ascii="Times New Roman" w:hAnsi="Times New Roman" w:cs="FrankRuehl"/>
          <w:sz w:val="24"/>
          <w:szCs w:val="26"/>
          <w:rtl/>
        </w:rPr>
        <w:t>* תכנון ובנייה – ועדות התכנון והבנייה – התערבות בית-המשפט</w:t>
      </w:r>
    </w:p>
    <w:p w:rsidR="004023AE" w:rsidRDefault="004023AE" w:rsidP="004023AE">
      <w:pPr>
        <w:pStyle w:val="a7"/>
        <w:pBdr>
          <w:top w:val="single" w:sz="4" w:space="1" w:color="auto"/>
          <w:bottom w:val="single" w:sz="4" w:space="1" w:color="auto"/>
        </w:pBdr>
        <w:spacing w:after="120" w:line="320" w:lineRule="exact"/>
        <w:ind w:left="0"/>
        <w:jc w:val="both"/>
        <w:rPr>
          <w:rFonts w:ascii="Times New Roman" w:hAnsi="Times New Roman" w:cs="FrankRuehl"/>
          <w:sz w:val="24"/>
          <w:szCs w:val="26"/>
          <w:rtl/>
        </w:rPr>
      </w:pPr>
      <w:r>
        <w:rPr>
          <w:rFonts w:ascii="Times New Roman" w:hAnsi="Times New Roman" w:cs="FrankRuehl"/>
          <w:sz w:val="24"/>
          <w:szCs w:val="26"/>
          <w:rtl/>
        </w:rPr>
        <w:t>* תכנון ובנייה – ועדות התכנון והבנייה – שיקוליהן</w:t>
      </w:r>
    </w:p>
    <w:p w:rsidR="004023AE" w:rsidRDefault="004023AE" w:rsidP="004023AE">
      <w:pPr>
        <w:pStyle w:val="a7"/>
        <w:pBdr>
          <w:top w:val="single" w:sz="4" w:space="1" w:color="auto"/>
          <w:bottom w:val="single" w:sz="4" w:space="1" w:color="auto"/>
        </w:pBdr>
        <w:spacing w:after="120" w:line="320" w:lineRule="exact"/>
        <w:ind w:left="0"/>
        <w:jc w:val="both"/>
        <w:rPr>
          <w:rFonts w:ascii="Times New Roman" w:hAnsi="Times New Roman" w:cs="FrankRuehl" w:hint="cs"/>
          <w:sz w:val="24"/>
          <w:szCs w:val="26"/>
          <w:rtl/>
        </w:rPr>
      </w:pPr>
      <w:r>
        <w:rPr>
          <w:rFonts w:ascii="Times New Roman" w:hAnsi="Times New Roman" w:cs="FrankRuehl"/>
          <w:sz w:val="24"/>
          <w:szCs w:val="26"/>
          <w:rtl/>
        </w:rPr>
        <w:t>* תכנון ובנייה – ועדות התכנון והבנייה – סמכויותיהן</w:t>
      </w:r>
    </w:p>
    <w:p w:rsidR="004023AE" w:rsidRDefault="004023AE" w:rsidP="004023AE">
      <w:pPr>
        <w:pStyle w:val="a7"/>
        <w:pBdr>
          <w:top w:val="single" w:sz="4" w:space="1" w:color="auto"/>
          <w:bottom w:val="single" w:sz="4" w:space="1" w:color="auto"/>
        </w:pBdr>
        <w:spacing w:after="120" w:line="320" w:lineRule="exact"/>
        <w:ind w:left="0"/>
        <w:jc w:val="both"/>
        <w:rPr>
          <w:rFonts w:ascii="Times New Roman" w:hAnsi="Times New Roman" w:cs="FrankRuehl" w:hint="cs"/>
          <w:sz w:val="24"/>
          <w:szCs w:val="26"/>
          <w:rtl/>
        </w:rPr>
      </w:pPr>
      <w:r>
        <w:rPr>
          <w:rFonts w:ascii="Times New Roman" w:hAnsi="Times New Roman" w:cs="FrankRuehl" w:hint="cs"/>
          <w:sz w:val="24"/>
          <w:szCs w:val="26"/>
          <w:rtl/>
        </w:rPr>
        <w:t>.</w:t>
      </w:r>
    </w:p>
    <w:p w:rsidR="001A1E06" w:rsidRPr="004023AE" w:rsidRDefault="001A1E06" w:rsidP="004023AE">
      <w:pPr>
        <w:pBdr>
          <w:top w:val="single" w:sz="4" w:space="1" w:color="auto"/>
          <w:bottom w:val="single" w:sz="4" w:space="1" w:color="auto"/>
        </w:pBdr>
        <w:spacing w:after="120" w:line="320" w:lineRule="exact"/>
        <w:jc w:val="both"/>
        <w:rPr>
          <w:rFonts w:cs="FrankRuehl"/>
          <w:szCs w:val="26"/>
        </w:rPr>
      </w:pPr>
      <w:r w:rsidRPr="004023AE">
        <w:rPr>
          <w:rFonts w:cs="FrankRuehl"/>
          <w:szCs w:val="26"/>
          <w:rtl/>
        </w:rPr>
        <w:t>עתירה מנהלית כנגד החלטת הועדה המחוזית לתכנון ובנייה</w:t>
      </w:r>
      <w:r w:rsidRPr="004023AE">
        <w:rPr>
          <w:rFonts w:cs="FrankRuehl" w:hint="cs"/>
          <w:szCs w:val="26"/>
          <w:rtl/>
        </w:rPr>
        <w:t>, בה בוטלה</w:t>
      </w:r>
      <w:r w:rsidRPr="004023AE">
        <w:rPr>
          <w:rFonts w:cs="FrankRuehl"/>
          <w:szCs w:val="26"/>
          <w:rtl/>
        </w:rPr>
        <w:t xml:space="preserve"> החלטה קודמת על הפקדת תכנית </w:t>
      </w:r>
      <w:r w:rsidRPr="004023AE">
        <w:rPr>
          <w:rFonts w:cs="FrankRuehl" w:hint="cs"/>
          <w:szCs w:val="26"/>
          <w:rtl/>
        </w:rPr>
        <w:t>והוחלט ש</w:t>
      </w:r>
      <w:r w:rsidRPr="004023AE">
        <w:rPr>
          <w:rFonts w:cs="FrankRuehl"/>
          <w:szCs w:val="26"/>
          <w:rtl/>
        </w:rPr>
        <w:t xml:space="preserve">ניתן יהיה לשוב ולדון בתוכנית בהתקיים מספר תנאים, שבמרכזם חתימת כל בעלי הקרקעות שעליהן חלה התוכנית. </w:t>
      </w:r>
    </w:p>
    <w:p w:rsidR="004023AE" w:rsidRDefault="004023AE" w:rsidP="004023AE">
      <w:pPr>
        <w:pBdr>
          <w:top w:val="single" w:sz="4" w:space="1" w:color="auto"/>
          <w:bottom w:val="single" w:sz="4" w:space="1" w:color="auto"/>
        </w:pBdr>
        <w:spacing w:after="120" w:line="320" w:lineRule="exact"/>
        <w:jc w:val="both"/>
        <w:rPr>
          <w:rFonts w:cs="FrankRuehl" w:hint="cs"/>
          <w:szCs w:val="26"/>
          <w:rtl/>
        </w:rPr>
      </w:pPr>
      <w:r>
        <w:rPr>
          <w:rFonts w:cs="FrankRuehl" w:hint="cs"/>
          <w:szCs w:val="26"/>
          <w:rtl/>
        </w:rPr>
        <w:t>.</w:t>
      </w:r>
    </w:p>
    <w:p w:rsidR="001A1E06" w:rsidRPr="004023AE" w:rsidRDefault="001A1E06" w:rsidP="004023AE">
      <w:pPr>
        <w:pBdr>
          <w:top w:val="single" w:sz="4" w:space="1" w:color="auto"/>
          <w:bottom w:val="single" w:sz="4" w:space="1" w:color="auto"/>
        </w:pBdr>
        <w:spacing w:after="120" w:line="320" w:lineRule="exact"/>
        <w:jc w:val="both"/>
        <w:rPr>
          <w:rFonts w:cs="FrankRuehl"/>
          <w:szCs w:val="26"/>
          <w:rtl/>
        </w:rPr>
      </w:pPr>
      <w:r w:rsidRPr="004023AE">
        <w:rPr>
          <w:rFonts w:cs="FrankRuehl" w:hint="cs"/>
          <w:szCs w:val="26"/>
          <w:rtl/>
        </w:rPr>
        <w:t>בית המשפט לעניינים מנהליים דחה את העתירה ופסק:</w:t>
      </w:r>
    </w:p>
    <w:p w:rsidR="001A1E06" w:rsidRPr="004023AE" w:rsidRDefault="001A1E06" w:rsidP="004023AE">
      <w:pPr>
        <w:pBdr>
          <w:top w:val="single" w:sz="4" w:space="1" w:color="auto"/>
          <w:bottom w:val="single" w:sz="4" w:space="1" w:color="auto"/>
        </w:pBdr>
        <w:spacing w:after="120" w:line="320" w:lineRule="exact"/>
        <w:jc w:val="both"/>
        <w:rPr>
          <w:rFonts w:cs="FrankRuehl"/>
          <w:szCs w:val="26"/>
          <w:rtl/>
        </w:rPr>
      </w:pPr>
      <w:r w:rsidRPr="004023AE">
        <w:rPr>
          <w:rFonts w:cs="FrankRuehl"/>
          <w:szCs w:val="26"/>
          <w:rtl/>
        </w:rPr>
        <w:t xml:space="preserve">אין בימ"ש זה שם שיקול דעתו במקום שיקול דעתה </w:t>
      </w:r>
      <w:r w:rsidRPr="004023AE">
        <w:rPr>
          <w:rFonts w:cs="FrankRuehl" w:hint="cs"/>
          <w:szCs w:val="26"/>
          <w:rtl/>
        </w:rPr>
        <w:t xml:space="preserve">של </w:t>
      </w:r>
      <w:r w:rsidRPr="004023AE">
        <w:rPr>
          <w:rFonts w:cs="FrankRuehl"/>
          <w:szCs w:val="26"/>
          <w:rtl/>
        </w:rPr>
        <w:t xml:space="preserve">רשות התכנון </w:t>
      </w:r>
      <w:r w:rsidRPr="004023AE">
        <w:rPr>
          <w:rFonts w:cs="FrankRuehl" w:hint="cs"/>
          <w:szCs w:val="26"/>
          <w:rtl/>
        </w:rPr>
        <w:t xml:space="preserve">והוא </w:t>
      </w:r>
      <w:r w:rsidRPr="004023AE">
        <w:rPr>
          <w:rFonts w:cs="FrankRuehl"/>
          <w:szCs w:val="26"/>
          <w:rtl/>
        </w:rPr>
        <w:t xml:space="preserve">יתערב רק אם הדרך בה בחרה חורגת לחלוטין מתחום הסביר. </w:t>
      </w:r>
      <w:r w:rsidRPr="004023AE">
        <w:rPr>
          <w:rFonts w:cs="FrankRuehl" w:hint="cs"/>
          <w:szCs w:val="26"/>
          <w:rtl/>
        </w:rPr>
        <w:t xml:space="preserve">בנסיבות, </w:t>
      </w:r>
      <w:r w:rsidRPr="004023AE">
        <w:rPr>
          <w:rFonts w:cs="FrankRuehl"/>
          <w:szCs w:val="26"/>
          <w:rtl/>
        </w:rPr>
        <w:t xml:space="preserve">החלטת הוועדה </w:t>
      </w:r>
      <w:r w:rsidRPr="004023AE">
        <w:rPr>
          <w:rFonts w:cs="FrankRuehl" w:hint="cs"/>
          <w:szCs w:val="26"/>
          <w:rtl/>
        </w:rPr>
        <w:t xml:space="preserve">לא </w:t>
      </w:r>
      <w:r w:rsidRPr="004023AE">
        <w:rPr>
          <w:rFonts w:cs="FrankRuehl"/>
          <w:szCs w:val="26"/>
          <w:rtl/>
        </w:rPr>
        <w:t xml:space="preserve">חרגה ממתחם הסבירות </w:t>
      </w:r>
      <w:r w:rsidRPr="004023AE">
        <w:rPr>
          <w:rFonts w:cs="FrankRuehl" w:hint="cs"/>
          <w:szCs w:val="26"/>
          <w:rtl/>
        </w:rPr>
        <w:t>ו</w:t>
      </w:r>
      <w:r w:rsidRPr="004023AE">
        <w:rPr>
          <w:rFonts w:cs="FrankRuehl"/>
          <w:szCs w:val="26"/>
          <w:rtl/>
        </w:rPr>
        <w:t>אין מקום להתערבות בשיקוליה.</w:t>
      </w:r>
    </w:p>
    <w:p w:rsidR="001A1E06" w:rsidRPr="004023AE" w:rsidRDefault="001A1E06" w:rsidP="004023AE">
      <w:pPr>
        <w:pBdr>
          <w:top w:val="single" w:sz="4" w:space="1" w:color="auto"/>
          <w:bottom w:val="single" w:sz="4" w:space="1" w:color="auto"/>
        </w:pBdr>
        <w:spacing w:after="120" w:line="320" w:lineRule="exact"/>
        <w:jc w:val="both"/>
        <w:rPr>
          <w:rFonts w:cs="FrankRuehl"/>
          <w:szCs w:val="26"/>
          <w:rtl/>
        </w:rPr>
      </w:pPr>
      <w:r w:rsidRPr="004023AE">
        <w:rPr>
          <w:rFonts w:cs="FrankRuehl"/>
          <w:szCs w:val="26"/>
          <w:rtl/>
        </w:rPr>
        <w:t>ועדות התכנון אינן כבולות להחלטות קודמות שלהן</w:t>
      </w:r>
      <w:r w:rsidRPr="004023AE">
        <w:rPr>
          <w:rFonts w:cs="FrankRuehl" w:hint="cs"/>
          <w:szCs w:val="26"/>
          <w:rtl/>
        </w:rPr>
        <w:t xml:space="preserve"> </w:t>
      </w:r>
      <w:r w:rsidRPr="004023AE">
        <w:rPr>
          <w:rFonts w:cs="FrankRuehl"/>
          <w:szCs w:val="26"/>
          <w:rtl/>
        </w:rPr>
        <w:t xml:space="preserve">והן רשאיות לשנות תכניות קיימות תוך התחשבות באינטרס ההסתמכות של צדדים אחרים וניסיון להפחית את הפגיעה בהם. </w:t>
      </w:r>
    </w:p>
    <w:p w:rsidR="001A1E06" w:rsidRPr="004023AE" w:rsidRDefault="001A1E06" w:rsidP="004023AE">
      <w:pPr>
        <w:pBdr>
          <w:top w:val="single" w:sz="4" w:space="1" w:color="auto"/>
          <w:bottom w:val="single" w:sz="4" w:space="0" w:color="auto"/>
        </w:pBdr>
        <w:spacing w:after="120" w:line="320" w:lineRule="exact"/>
        <w:jc w:val="both"/>
        <w:rPr>
          <w:rFonts w:cs="FrankRuehl"/>
          <w:szCs w:val="26"/>
        </w:rPr>
      </w:pPr>
      <w:r w:rsidRPr="004023AE">
        <w:rPr>
          <w:rFonts w:cs="FrankRuehl"/>
          <w:szCs w:val="26"/>
          <w:rtl/>
        </w:rPr>
        <w:lastRenderedPageBreak/>
        <w:t xml:space="preserve">אחד השיקולים שעל רשויות התכנון </w:t>
      </w:r>
      <w:r w:rsidRPr="004023AE">
        <w:rPr>
          <w:rFonts w:cs="FrankRuehl" w:hint="cs"/>
          <w:szCs w:val="26"/>
          <w:rtl/>
        </w:rPr>
        <w:t>לשקול</w:t>
      </w:r>
      <w:r w:rsidRPr="004023AE">
        <w:rPr>
          <w:rFonts w:cs="FrankRuehl"/>
          <w:szCs w:val="26"/>
          <w:rtl/>
        </w:rPr>
        <w:t xml:space="preserve"> באישור תכניות הוא אי מתן הכשר לעבירות בנייה על מנת שלא לעודד עבריינות בנייה</w:t>
      </w:r>
      <w:r w:rsidRPr="004023AE">
        <w:rPr>
          <w:rFonts w:cs="FrankRuehl" w:hint="cs"/>
          <w:szCs w:val="26"/>
          <w:rtl/>
        </w:rPr>
        <w:t>.</w:t>
      </w:r>
      <w:r w:rsidRPr="004023AE">
        <w:rPr>
          <w:rFonts w:cs="FrankRuehl"/>
          <w:szCs w:val="26"/>
          <w:rtl/>
        </w:rPr>
        <w:t xml:space="preserve"> במקרים של עבירות בנייה חריגות, די בשיקול זה </w:t>
      </w:r>
      <w:r w:rsidRPr="004023AE">
        <w:rPr>
          <w:rFonts w:cs="FrankRuehl" w:hint="cs"/>
          <w:szCs w:val="26"/>
          <w:rtl/>
        </w:rPr>
        <w:t>כדי</w:t>
      </w:r>
      <w:r w:rsidRPr="004023AE">
        <w:rPr>
          <w:rFonts w:cs="FrankRuehl"/>
          <w:szCs w:val="26"/>
          <w:rtl/>
        </w:rPr>
        <w:t xml:space="preserve"> להצדיק את סירוב רשויות התכנון לאשר תכנית</w:t>
      </w:r>
      <w:r w:rsidRPr="004023AE">
        <w:rPr>
          <w:rFonts w:cs="FrankRuehl" w:hint="cs"/>
          <w:szCs w:val="26"/>
          <w:rtl/>
        </w:rPr>
        <w:t>.</w:t>
      </w:r>
      <w:r w:rsidRPr="004023AE">
        <w:rPr>
          <w:rFonts w:cs="FrankRuehl"/>
          <w:szCs w:val="26"/>
          <w:rtl/>
        </w:rPr>
        <w:t xml:space="preserve"> קל וחומר במקרה דנן, בו העותרת פעלה בקרקע של שכן ללא היתר וכיום מבקשת לכפות עליו תכנית שעלולה לפגוע בזכות הקניין שלו.</w:t>
      </w:r>
    </w:p>
    <w:p w:rsidR="001A1E06" w:rsidRPr="001A1E06" w:rsidRDefault="001A1E06">
      <w:pPr>
        <w:suppressLineNumbers/>
        <w:rPr>
          <w:rFonts w:hint="cs"/>
        </w:rPr>
      </w:pPr>
      <w:bookmarkStart w:id="4" w:name="ABSTRACT_END"/>
      <w:bookmarkEnd w:id="4"/>
    </w:p>
    <w:tbl>
      <w:tblPr>
        <w:bidiVisual/>
        <w:tblW w:w="8820" w:type="dxa"/>
        <w:jc w:val="center"/>
        <w:tblLook w:val="01E0"/>
      </w:tblPr>
      <w:tblGrid>
        <w:gridCol w:w="8820"/>
      </w:tblGrid>
      <w:tr w:rsidR="002427C9">
        <w:trPr>
          <w:jc w:val="center"/>
        </w:trPr>
        <w:tc>
          <w:tcPr>
            <w:tcW w:w="8820" w:type="dxa"/>
          </w:tcPr>
          <w:p w:rsidR="00A32BC0" w:rsidRPr="00A32BC0" w:rsidRDefault="00A32BC0" w:rsidP="00A32BC0">
            <w:pPr>
              <w:bidi w:val="0"/>
              <w:jc w:val="center"/>
              <w:rPr>
                <w:rFonts w:ascii="Arial" w:hAnsi="Arial"/>
                <w:b/>
                <w:bCs/>
                <w:noProof w:val="0"/>
                <w:sz w:val="32"/>
                <w:szCs w:val="32"/>
                <w:u w:val="single"/>
                <w:rtl/>
              </w:rPr>
            </w:pPr>
            <w:bookmarkStart w:id="5" w:name="PsakDin" w:colFirst="0" w:colLast="0"/>
            <w:bookmarkEnd w:id="0"/>
            <w:bookmarkEnd w:id="1"/>
            <w:r w:rsidRPr="00A32BC0">
              <w:rPr>
                <w:rFonts w:ascii="Arial" w:hAnsi="Arial"/>
                <w:b/>
                <w:bCs/>
                <w:noProof w:val="0"/>
                <w:sz w:val="32"/>
                <w:szCs w:val="32"/>
                <w:u w:val="single"/>
                <w:rtl/>
              </w:rPr>
              <w:t>פסק דין</w:t>
            </w:r>
          </w:p>
          <w:p w:rsidR="002427C9" w:rsidRPr="00A32BC0" w:rsidRDefault="002427C9" w:rsidP="00A32BC0">
            <w:pPr>
              <w:bidi w:val="0"/>
              <w:jc w:val="center"/>
              <w:rPr>
                <w:rFonts w:ascii="Arial" w:hAnsi="Arial"/>
                <w:b/>
                <w:bCs/>
                <w:noProof w:val="0"/>
                <w:sz w:val="32"/>
                <w:szCs w:val="32"/>
                <w:u w:val="single"/>
              </w:rPr>
            </w:pPr>
          </w:p>
        </w:tc>
      </w:tr>
      <w:bookmarkEnd w:id="5"/>
    </w:tbl>
    <w:p w:rsidR="002427C9" w:rsidRDefault="002427C9">
      <w:pPr>
        <w:spacing w:line="360" w:lineRule="auto"/>
        <w:ind w:left="567" w:hanging="567"/>
        <w:jc w:val="both"/>
        <w:rPr>
          <w:b/>
          <w:bCs/>
          <w:sz w:val="26"/>
          <w:szCs w:val="26"/>
          <w:u w:val="single"/>
          <w:rtl/>
        </w:rPr>
      </w:pPr>
    </w:p>
    <w:p w:rsidR="002427C9" w:rsidRDefault="00A32BC0">
      <w:pPr>
        <w:numPr>
          <w:ilvl w:val="0"/>
          <w:numId w:val="1"/>
        </w:numPr>
        <w:tabs>
          <w:tab w:val="clear" w:pos="720"/>
          <w:tab w:val="num" w:pos="32"/>
        </w:tabs>
        <w:spacing w:line="360" w:lineRule="auto"/>
        <w:ind w:left="32" w:firstLine="0"/>
        <w:jc w:val="both"/>
        <w:rPr>
          <w:sz w:val="26"/>
          <w:szCs w:val="26"/>
        </w:rPr>
      </w:pPr>
      <w:r>
        <w:rPr>
          <w:sz w:val="26"/>
          <w:szCs w:val="26"/>
          <w:rtl/>
        </w:rPr>
        <w:t xml:space="preserve">עתירה מנהלית כנגד החלטת הועדה המחוזית לתכנון ובנייה מחוז המרכז </w:t>
      </w:r>
      <w:r>
        <w:rPr>
          <w:rFonts w:hint="cs"/>
          <w:sz w:val="26"/>
          <w:szCs w:val="26"/>
          <w:rtl/>
        </w:rPr>
        <w:t xml:space="preserve">         </w:t>
      </w:r>
      <w:r>
        <w:rPr>
          <w:sz w:val="26"/>
          <w:szCs w:val="26"/>
          <w:rtl/>
        </w:rPr>
        <w:t>(להלן: "</w:t>
      </w:r>
      <w:r>
        <w:rPr>
          <w:b/>
          <w:bCs/>
          <w:sz w:val="26"/>
          <w:szCs w:val="26"/>
          <w:rtl/>
        </w:rPr>
        <w:t>הועדה מחוזית</w:t>
      </w:r>
      <w:r>
        <w:rPr>
          <w:sz w:val="26"/>
          <w:szCs w:val="26"/>
          <w:rtl/>
        </w:rPr>
        <w:t xml:space="preserve">" או </w:t>
      </w:r>
      <w:r>
        <w:rPr>
          <w:b/>
          <w:bCs/>
          <w:sz w:val="26"/>
          <w:szCs w:val="26"/>
          <w:rtl/>
        </w:rPr>
        <w:t>"הועדה</w:t>
      </w:r>
      <w:r>
        <w:rPr>
          <w:sz w:val="26"/>
          <w:szCs w:val="26"/>
          <w:rtl/>
        </w:rPr>
        <w:t>"), מיום 24.7.2006 (להלן: "</w:t>
      </w:r>
      <w:r>
        <w:rPr>
          <w:b/>
          <w:bCs/>
          <w:sz w:val="26"/>
          <w:szCs w:val="26"/>
          <w:rtl/>
        </w:rPr>
        <w:t>ההחלטה</w:t>
      </w:r>
      <w:r>
        <w:rPr>
          <w:sz w:val="26"/>
          <w:szCs w:val="26"/>
          <w:rtl/>
        </w:rPr>
        <w:t xml:space="preserve">"). </w:t>
      </w:r>
      <w:r>
        <w:rPr>
          <w:rFonts w:hint="cs"/>
          <w:sz w:val="26"/>
          <w:szCs w:val="26"/>
          <w:rtl/>
        </w:rPr>
        <w:t xml:space="preserve">              </w:t>
      </w:r>
      <w:r>
        <w:rPr>
          <w:sz w:val="26"/>
          <w:szCs w:val="26"/>
          <w:rtl/>
        </w:rPr>
        <w:t>הועדה החליטה לבטל החלטתה הקודמת, מיום 28.2.2005 (להלן: "</w:t>
      </w:r>
      <w:r>
        <w:rPr>
          <w:b/>
          <w:bCs/>
          <w:sz w:val="26"/>
          <w:szCs w:val="26"/>
          <w:rtl/>
        </w:rPr>
        <w:t>החלטת ההפקדה</w:t>
      </w:r>
      <w:r>
        <w:rPr>
          <w:sz w:val="26"/>
          <w:szCs w:val="26"/>
          <w:rtl/>
        </w:rPr>
        <w:t xml:space="preserve">") </w:t>
      </w:r>
      <w:r>
        <w:rPr>
          <w:rFonts w:hint="cs"/>
          <w:sz w:val="26"/>
          <w:szCs w:val="26"/>
          <w:rtl/>
        </w:rPr>
        <w:t xml:space="preserve">      </w:t>
      </w:r>
      <w:r>
        <w:rPr>
          <w:sz w:val="26"/>
          <w:szCs w:val="26"/>
          <w:rtl/>
        </w:rPr>
        <w:t xml:space="preserve">על הפקדת תוכנית מתאר בר/302 לשיקום בור באמצעות מטמנה לפסולת יבשה </w:t>
      </w:r>
      <w:r>
        <w:rPr>
          <w:rFonts w:hint="cs"/>
          <w:sz w:val="26"/>
          <w:szCs w:val="26"/>
          <w:rtl/>
        </w:rPr>
        <w:t xml:space="preserve">                </w:t>
      </w:r>
      <w:r>
        <w:rPr>
          <w:sz w:val="26"/>
          <w:szCs w:val="26"/>
          <w:rtl/>
        </w:rPr>
        <w:t>(להלן: "</w:t>
      </w:r>
      <w:r>
        <w:rPr>
          <w:b/>
          <w:bCs/>
          <w:sz w:val="26"/>
          <w:szCs w:val="26"/>
          <w:rtl/>
        </w:rPr>
        <w:t>תוכנית ההטמנה</w:t>
      </w:r>
      <w:r>
        <w:rPr>
          <w:sz w:val="26"/>
          <w:szCs w:val="26"/>
          <w:rtl/>
        </w:rPr>
        <w:t>" או "</w:t>
      </w:r>
      <w:r>
        <w:rPr>
          <w:b/>
          <w:bCs/>
          <w:sz w:val="26"/>
          <w:szCs w:val="26"/>
          <w:rtl/>
        </w:rPr>
        <w:t>התוכנית</w:t>
      </w:r>
      <w:r>
        <w:rPr>
          <w:sz w:val="26"/>
          <w:szCs w:val="26"/>
          <w:rtl/>
        </w:rPr>
        <w:t xml:space="preserve">"). הועדה החליטה כי ניתן יהיה לשוב ולדון בתוכנית ההטמנה בהתקיים מספר תנאים, שבמרכזם התנאי של חתימת כל בעלי הקרקעות שעליהן חלה התוכנית. </w:t>
      </w:r>
    </w:p>
    <w:p w:rsidR="002427C9" w:rsidRDefault="002427C9">
      <w:pPr>
        <w:spacing w:line="360" w:lineRule="auto"/>
        <w:ind w:left="32"/>
        <w:jc w:val="both"/>
        <w:rPr>
          <w:sz w:val="26"/>
          <w:szCs w:val="26"/>
        </w:rPr>
      </w:pPr>
    </w:p>
    <w:p w:rsidR="002427C9" w:rsidRDefault="00A32BC0">
      <w:pPr>
        <w:numPr>
          <w:ilvl w:val="0"/>
          <w:numId w:val="1"/>
        </w:numPr>
        <w:tabs>
          <w:tab w:val="clear" w:pos="720"/>
          <w:tab w:val="num" w:pos="572"/>
        </w:tabs>
        <w:spacing w:line="360" w:lineRule="auto"/>
        <w:ind w:left="572" w:hanging="540"/>
        <w:jc w:val="both"/>
        <w:rPr>
          <w:sz w:val="28"/>
          <w:szCs w:val="28"/>
          <w:u w:val="single"/>
        </w:rPr>
      </w:pPr>
      <w:r>
        <w:rPr>
          <w:b/>
          <w:bCs/>
          <w:sz w:val="28"/>
          <w:szCs w:val="28"/>
          <w:u w:val="single"/>
          <w:rtl/>
        </w:rPr>
        <w:t>עיקרי העובדות</w:t>
      </w:r>
      <w:r>
        <w:rPr>
          <w:sz w:val="28"/>
          <w:szCs w:val="28"/>
          <w:u w:val="single"/>
          <w:rtl/>
        </w:rPr>
        <w:t>:</w:t>
      </w:r>
    </w:p>
    <w:p w:rsidR="002427C9" w:rsidRDefault="002427C9">
      <w:pPr>
        <w:pStyle w:val="ListParagraph"/>
        <w:rPr>
          <w:rFonts w:cs="David"/>
          <w:sz w:val="26"/>
          <w:szCs w:val="26"/>
          <w:rtl/>
        </w:rPr>
      </w:pPr>
    </w:p>
    <w:p w:rsidR="002427C9" w:rsidRDefault="00A32BC0">
      <w:pPr>
        <w:spacing w:line="360" w:lineRule="auto"/>
        <w:ind w:left="32"/>
        <w:jc w:val="both"/>
        <w:rPr>
          <w:sz w:val="26"/>
          <w:szCs w:val="26"/>
          <w:rtl/>
        </w:rPr>
      </w:pPr>
      <w:r>
        <w:rPr>
          <w:sz w:val="26"/>
          <w:szCs w:val="26"/>
          <w:rtl/>
        </w:rPr>
        <w:t>העותרת היא הבעלים של חלקה 15 בגוש 4593, בשטח של 32,828 מ"ר (להלן: "</w:t>
      </w:r>
      <w:r>
        <w:rPr>
          <w:b/>
          <w:bCs/>
          <w:sz w:val="26"/>
          <w:szCs w:val="26"/>
          <w:rtl/>
        </w:rPr>
        <w:t>חלקה 15</w:t>
      </w:r>
      <w:r>
        <w:rPr>
          <w:sz w:val="26"/>
          <w:szCs w:val="26"/>
          <w:rtl/>
        </w:rPr>
        <w:t>" או "</w:t>
      </w:r>
      <w:r>
        <w:rPr>
          <w:b/>
          <w:bCs/>
          <w:sz w:val="26"/>
          <w:szCs w:val="26"/>
          <w:rtl/>
        </w:rPr>
        <w:t>חלקת נאות לירן</w:t>
      </w:r>
      <w:r>
        <w:rPr>
          <w:sz w:val="26"/>
          <w:szCs w:val="26"/>
          <w:rtl/>
        </w:rPr>
        <w:t>"), ושל חלק מחלקות 1 ו– 38 בגוש 4593. ייעוד המקרקעין הוא חקלאי והם נמצאים במרחב "שורקות" ליד גדרה. גרונפלד הוא הבעלים של חלקה מס' 14 בגוש 4593, בשטח של 14,079 מ"ר (להלן, "</w:t>
      </w:r>
      <w:r>
        <w:rPr>
          <w:b/>
          <w:bCs/>
          <w:sz w:val="26"/>
          <w:szCs w:val="26"/>
          <w:rtl/>
        </w:rPr>
        <w:t>חלקה 14</w:t>
      </w:r>
      <w:r>
        <w:rPr>
          <w:sz w:val="26"/>
          <w:szCs w:val="26"/>
          <w:rtl/>
        </w:rPr>
        <w:t>" או "</w:t>
      </w:r>
      <w:r>
        <w:rPr>
          <w:b/>
          <w:bCs/>
          <w:sz w:val="26"/>
          <w:szCs w:val="26"/>
          <w:rtl/>
        </w:rPr>
        <w:t>חלקת גרונפלד</w:t>
      </w:r>
      <w:r>
        <w:rPr>
          <w:sz w:val="26"/>
          <w:szCs w:val="26"/>
          <w:rtl/>
        </w:rPr>
        <w:t>") ושל חלק מחלקות</w:t>
      </w:r>
      <w:r>
        <w:rPr>
          <w:rFonts w:hint="cs"/>
          <w:sz w:val="26"/>
          <w:szCs w:val="26"/>
          <w:rtl/>
        </w:rPr>
        <w:t xml:space="preserve">      </w:t>
      </w:r>
      <w:r>
        <w:rPr>
          <w:sz w:val="26"/>
          <w:szCs w:val="26"/>
          <w:rtl/>
        </w:rPr>
        <w:t xml:space="preserve"> 1 ו– 38 בגוש 4593. סמוך לחלקות 14 ו– 15 מצויות חלקות 1,2,3,4,16, שבבעלות </w:t>
      </w:r>
      <w:r>
        <w:rPr>
          <w:b/>
          <w:bCs/>
          <w:sz w:val="26"/>
          <w:szCs w:val="26"/>
          <w:rtl/>
        </w:rPr>
        <w:t>משק הדר דרום בע"מ</w:t>
      </w:r>
      <w:r>
        <w:rPr>
          <w:sz w:val="26"/>
          <w:szCs w:val="26"/>
          <w:rtl/>
        </w:rPr>
        <w:t xml:space="preserve"> (המשיב 2) ו-</w:t>
      </w:r>
      <w:r>
        <w:rPr>
          <w:b/>
          <w:bCs/>
          <w:sz w:val="26"/>
          <w:szCs w:val="26"/>
          <w:rtl/>
        </w:rPr>
        <w:t>משק פטר בע"מ</w:t>
      </w:r>
      <w:r>
        <w:rPr>
          <w:sz w:val="26"/>
          <w:szCs w:val="26"/>
          <w:rtl/>
        </w:rPr>
        <w:t xml:space="preserve"> שמלכתחילה היו גם הם משיבים  2 ו- 3 בעתירה. </w:t>
      </w:r>
    </w:p>
    <w:p w:rsidR="002427C9" w:rsidRDefault="002427C9">
      <w:pPr>
        <w:spacing w:line="360" w:lineRule="auto"/>
        <w:ind w:left="32"/>
        <w:jc w:val="both"/>
        <w:rPr>
          <w:sz w:val="26"/>
          <w:szCs w:val="26"/>
          <w:rtl/>
        </w:rPr>
      </w:pPr>
    </w:p>
    <w:p w:rsidR="002427C9" w:rsidRDefault="002427C9">
      <w:pPr>
        <w:spacing w:line="360" w:lineRule="auto"/>
        <w:ind w:left="32"/>
        <w:jc w:val="both"/>
        <w:rPr>
          <w:sz w:val="26"/>
          <w:szCs w:val="26"/>
          <w:rtl/>
        </w:rPr>
      </w:pPr>
    </w:p>
    <w:p w:rsidR="002427C9" w:rsidRDefault="00A32BC0">
      <w:pPr>
        <w:spacing w:line="360" w:lineRule="auto"/>
        <w:ind w:left="32"/>
        <w:jc w:val="both"/>
        <w:rPr>
          <w:sz w:val="26"/>
          <w:szCs w:val="26"/>
          <w:rtl/>
        </w:rPr>
      </w:pPr>
      <w:r>
        <w:rPr>
          <w:sz w:val="26"/>
          <w:szCs w:val="26"/>
          <w:rtl/>
        </w:rPr>
        <w:t xml:space="preserve">חלקה 38 היא בבעלות כל בעלי החלקות הנ"ל ומשמשת כמעבר לכל החלקות של הצדדים. עמותת השכונה הסמוכה לחלקות הצדדים היא המשיבה 5. </w:t>
      </w:r>
    </w:p>
    <w:p w:rsidR="002427C9" w:rsidRDefault="00A32BC0">
      <w:pPr>
        <w:spacing w:line="360" w:lineRule="auto"/>
        <w:ind w:left="32"/>
        <w:jc w:val="both"/>
        <w:rPr>
          <w:sz w:val="26"/>
          <w:szCs w:val="26"/>
          <w:rtl/>
        </w:rPr>
      </w:pPr>
      <w:r>
        <w:rPr>
          <w:sz w:val="26"/>
          <w:szCs w:val="26"/>
          <w:rtl/>
        </w:rPr>
        <w:t xml:space="preserve">בישיבה מיום 22.5.13 הודיעה ב"כ משיבים 2- 3 כי היא מופיעה גם בשם המשיבה 5, ולבקשתה נמחקו משיבים אלה מהעתירה (עמ' 12, 13 לפרוטו'). </w:t>
      </w:r>
    </w:p>
    <w:p w:rsidR="002427C9" w:rsidRDefault="002427C9">
      <w:pPr>
        <w:spacing w:line="360" w:lineRule="auto"/>
        <w:ind w:left="32"/>
        <w:jc w:val="both"/>
        <w:rPr>
          <w:sz w:val="26"/>
          <w:szCs w:val="26"/>
          <w:rtl/>
        </w:rPr>
      </w:pPr>
    </w:p>
    <w:p w:rsidR="002427C9" w:rsidRDefault="00A32BC0">
      <w:pPr>
        <w:spacing w:line="360" w:lineRule="auto"/>
        <w:ind w:left="32"/>
        <w:jc w:val="both"/>
        <w:rPr>
          <w:sz w:val="26"/>
          <w:szCs w:val="26"/>
          <w:rtl/>
        </w:rPr>
      </w:pPr>
      <w:r>
        <w:rPr>
          <w:sz w:val="26"/>
          <w:szCs w:val="26"/>
          <w:rtl/>
        </w:rPr>
        <w:t xml:space="preserve">בשנים 2002 ו– 2003 ניתנו לעותרת היתרים לכרייה, ואין מחלוקת בין הצדדים כי העותרת חרגה מההיתרים בביצוע עבודות הכרייה והרחיבה מימדי החציבה בפועל, הן בהיקף שטח החפירה והן בעומק החפירה. הכרייה הופסקה בנובמבר 2005, לאחר שבוטל הרישיון ע"י משרד התשתיות הלאומיות בשל החריגות שבוצעו. </w:t>
      </w:r>
    </w:p>
    <w:p w:rsidR="002427C9" w:rsidRDefault="00A32BC0">
      <w:pPr>
        <w:spacing w:line="360" w:lineRule="auto"/>
        <w:ind w:left="32"/>
        <w:jc w:val="both"/>
        <w:rPr>
          <w:sz w:val="26"/>
          <w:szCs w:val="26"/>
          <w:rtl/>
        </w:rPr>
      </w:pPr>
      <w:r>
        <w:rPr>
          <w:sz w:val="26"/>
          <w:szCs w:val="26"/>
          <w:rtl/>
        </w:rPr>
        <w:lastRenderedPageBreak/>
        <w:t xml:space="preserve">עקב הכרייה העותרת יצרה בור בעומק של כ– 50 מטר בחלקת גרונפלד ששטחו היה במחלוקת. בנוסף לחפירה העותרת הניחה גם, לכל המאוחר החל ממרץ 2005, ציוד שלה ואת החול שכרתה בחלקה 14, ואף בנתה שם צריפון, וכל זאת ללא רשותו וידיעתו של גרונפלד, ששהה כל העת בחו"ל. </w:t>
      </w:r>
    </w:p>
    <w:p w:rsidR="002427C9" w:rsidRDefault="002427C9">
      <w:pPr>
        <w:spacing w:line="360" w:lineRule="auto"/>
        <w:ind w:left="32"/>
        <w:jc w:val="both"/>
        <w:rPr>
          <w:sz w:val="26"/>
          <w:szCs w:val="26"/>
          <w:rtl/>
        </w:rPr>
      </w:pPr>
    </w:p>
    <w:p w:rsidR="002427C9" w:rsidRDefault="00A32BC0">
      <w:pPr>
        <w:spacing w:line="360" w:lineRule="auto"/>
        <w:ind w:left="32"/>
        <w:jc w:val="both"/>
        <w:rPr>
          <w:sz w:val="26"/>
          <w:szCs w:val="26"/>
          <w:rtl/>
        </w:rPr>
      </w:pPr>
      <w:r>
        <w:rPr>
          <w:sz w:val="26"/>
          <w:szCs w:val="26"/>
          <w:rtl/>
        </w:rPr>
        <w:t xml:space="preserve">ביום 28.2.2005 החליטה הוועדה המחוזית להפקיד בתנאים את תוכנית ההטמנה שיזמה העותרת לשיקום הבור באמצעות הקמת אתר מטמנה לפסולת יבשה. לשיטת הועדה, </w:t>
      </w:r>
      <w:r>
        <w:rPr>
          <w:rFonts w:hint="cs"/>
          <w:sz w:val="26"/>
          <w:szCs w:val="26"/>
          <w:rtl/>
        </w:rPr>
        <w:t xml:space="preserve">      </w:t>
      </w:r>
      <w:r>
        <w:rPr>
          <w:sz w:val="26"/>
          <w:szCs w:val="26"/>
          <w:rtl/>
        </w:rPr>
        <w:t>לאחר החלטת ההפקדה מפברואר 2005, הסתבר למשרד לאיכות הסביבה וללשכת התכנון כי העותרת כרתה עפר בשטח מעבר לגבולות התוכנית שהופקדה, בניגוד להיתר של הוועדה המחוזית, ובניגוד להיתר שניתן בהמשך ע"י הועדה המקומית לתכנון ולבנייה "שורקות" (להלן: "</w:t>
      </w:r>
      <w:r>
        <w:rPr>
          <w:b/>
          <w:bCs/>
          <w:sz w:val="26"/>
          <w:szCs w:val="26"/>
          <w:rtl/>
        </w:rPr>
        <w:t>הועדה המקומית</w:t>
      </w:r>
      <w:r>
        <w:rPr>
          <w:sz w:val="26"/>
          <w:szCs w:val="26"/>
          <w:rtl/>
        </w:rPr>
        <w:t>") ושחוקיותו מוטלת בספק (מאחר שלא קיבל את אישור הועדה המחוזית). לפי האמור בהחלטת הוועדה, בעקבות המשך הכרייה, התקיימו הליכים כנגד פעילות העותרת במקום, והוצאו צווי הפסקה שיפוטיים כנגד פעולות הכרייה של העותרת וכן ננקטו הליכים פליליים נוספים.</w:t>
      </w:r>
    </w:p>
    <w:p w:rsidR="002427C9" w:rsidRDefault="002427C9">
      <w:pPr>
        <w:spacing w:line="360" w:lineRule="auto"/>
        <w:ind w:left="32"/>
        <w:jc w:val="both"/>
        <w:rPr>
          <w:sz w:val="26"/>
          <w:szCs w:val="26"/>
          <w:rtl/>
        </w:rPr>
      </w:pPr>
    </w:p>
    <w:p w:rsidR="002427C9" w:rsidRDefault="00A32BC0">
      <w:pPr>
        <w:spacing w:line="360" w:lineRule="auto"/>
        <w:ind w:left="32"/>
        <w:jc w:val="both"/>
        <w:rPr>
          <w:sz w:val="26"/>
          <w:szCs w:val="26"/>
        </w:rPr>
      </w:pPr>
      <w:r>
        <w:rPr>
          <w:sz w:val="26"/>
          <w:szCs w:val="26"/>
          <w:rtl/>
        </w:rPr>
        <w:t xml:space="preserve">בשל העובדות הנ"ל, ולאחר ששמעה הועדה המחוזית את יזמי ומתכנני התוכנית, </w:t>
      </w:r>
      <w:r>
        <w:rPr>
          <w:rFonts w:hint="cs"/>
          <w:sz w:val="26"/>
          <w:szCs w:val="26"/>
          <w:rtl/>
        </w:rPr>
        <w:t xml:space="preserve">             </w:t>
      </w:r>
      <w:r>
        <w:rPr>
          <w:sz w:val="26"/>
          <w:szCs w:val="26"/>
          <w:rtl/>
        </w:rPr>
        <w:t>את המפקח על המכרות, את מהנדסת הוועדה המרחבית שורקות, את מהנדס המועצה גדרה ואת בעלי הקרקע הסמוכים, החליטה הוועדה ביום 24.7.2006 לבטל את החלטתה להפקיד את התוכנית. עוד קבעה הוועדה כי תהיה מוכנה לדון מחדש בתוכנית לאחר מילוי מספר תנאים, שאחד מהם הוא השגת הסכמת כל בעלי הקרקעות שבתחום התוכנית. לפיכך הגישה העותרת את העתירה דנן, בו עתרה לביטול החלטת הוועדה שביטלה את הפקדת התוכנית. לחילופין עתרה העותרת לשינוי חלק מתנאי הוועדה לדיון מחדש בתוכנית, ובמיוחד ביטול התנאי הדורש ממנה להשיג את הסכמת כל בעלי הקרקעות שבתחום התוכנית. מאוחר יותר צמצמה העותרת את עתירתה לתנאי אחד בלבד, והוא דרישת הוועדה המחוזית להשיג חתימות בעלי כל הקרקעות אליהן מתייחסת התוכנית. מאחר שגרונפלד נותר כיום היחיד שמסרב לחתום, למעשה העתירה מתמקדת בדרישת העותרת כי תאושר תוכניתה לשקם את הבור בדרך של הטמנת פסולת יבשה גם ללא הסכמת גרונפלד.</w:t>
      </w:r>
    </w:p>
    <w:p w:rsidR="002427C9" w:rsidRDefault="002427C9">
      <w:pPr>
        <w:pStyle w:val="ListParagraph"/>
        <w:rPr>
          <w:rFonts w:cs="David"/>
          <w:sz w:val="26"/>
          <w:szCs w:val="26"/>
          <w:rtl/>
        </w:rPr>
      </w:pPr>
    </w:p>
    <w:p w:rsidR="002427C9" w:rsidRDefault="00A32BC0">
      <w:pPr>
        <w:spacing w:line="360" w:lineRule="auto"/>
        <w:ind w:left="32"/>
        <w:jc w:val="both"/>
        <w:rPr>
          <w:sz w:val="26"/>
          <w:szCs w:val="26"/>
          <w:rtl/>
        </w:rPr>
      </w:pPr>
      <w:r>
        <w:rPr>
          <w:sz w:val="26"/>
          <w:szCs w:val="26"/>
          <w:rtl/>
        </w:rPr>
        <w:t xml:space="preserve">עוד יש לציין כי בשנת 2005 הגיש גרונפלד, בבית משפט השלום </w:t>
      </w:r>
      <w:hyperlink r:id="rId7" w:history="1">
        <w:r w:rsidRPr="00A32BC0">
          <w:rPr>
            <w:color w:val="0000FF"/>
            <w:sz w:val="26"/>
            <w:szCs w:val="26"/>
            <w:u w:val="single"/>
            <w:rtl/>
          </w:rPr>
          <w:t>ת.א. (ראשל"צ) 4669/05</w:t>
        </w:r>
      </w:hyperlink>
      <w:r>
        <w:rPr>
          <w:sz w:val="26"/>
          <w:szCs w:val="26"/>
          <w:rtl/>
        </w:rPr>
        <w:t xml:space="preserve">, </w:t>
      </w:r>
      <w:r w:rsidR="004023AE" w:rsidRPr="004023AE">
        <w:rPr>
          <w:sz w:val="22"/>
          <w:rtl/>
        </w:rPr>
        <w:t xml:space="preserve">[פורסם בנבו] </w:t>
      </w:r>
      <w:r>
        <w:rPr>
          <w:sz w:val="26"/>
          <w:szCs w:val="26"/>
          <w:rtl/>
        </w:rPr>
        <w:t xml:space="preserve">תביעה כנגד העותרת ובעלי מניותיה, לתשלום פיצוי בגין החול שנלקח מהכרייה בחלקתם וכן למתן צו עשה כנגד העותרת ובעלי מניותיה להשיב את מצב החלקה שלו לקדמותו. </w:t>
      </w:r>
      <w:r>
        <w:rPr>
          <w:rFonts w:hint="cs"/>
          <w:sz w:val="26"/>
          <w:szCs w:val="26"/>
          <w:rtl/>
        </w:rPr>
        <w:t xml:space="preserve">     </w:t>
      </w:r>
      <w:r>
        <w:rPr>
          <w:sz w:val="26"/>
          <w:szCs w:val="26"/>
          <w:rtl/>
        </w:rPr>
        <w:t xml:space="preserve">ביום 19.10.2012 ניתן פסק דין ע"י בימ"ש השלום, לפיו על העותרת לשלם לגרונפלד את שווי האדמה שנכרתה מחלקתו בסך של 319,366 ₪, בתוספת הפרשי הצמדה וריבית מיום הגשת התביעה בשלום (ביום 27.11.2005) ועד התשלום בפועל. בימ"ש השלום גם חייב את בעלי המניות של העותרת בתשלום סך של כ– 40,000 ₪ בגין דמי שימוש ראויים </w:t>
      </w:r>
      <w:r>
        <w:rPr>
          <w:sz w:val="26"/>
          <w:szCs w:val="26"/>
          <w:rtl/>
        </w:rPr>
        <w:lastRenderedPageBreak/>
        <w:t>עבור  השימוש שעשתה העותרת בחלקה 14. ביהמ"ש גם קבע בפסק דינו את שטח הפלישה, כממוצע של חוות דעת המודדים מטעם הצדדים, ובהתאם לכך הגיע לחישוב של כ– 3 דונם פלישה (סע' 60 לפסה"ד).</w:t>
      </w:r>
    </w:p>
    <w:p w:rsidR="002427C9" w:rsidRDefault="002427C9">
      <w:pPr>
        <w:pStyle w:val="ListParagraph"/>
        <w:ind w:left="90"/>
        <w:rPr>
          <w:rFonts w:cs="David"/>
          <w:b/>
          <w:bCs/>
          <w:sz w:val="28"/>
          <w:szCs w:val="28"/>
          <w:u w:val="single"/>
          <w:rtl/>
        </w:rPr>
      </w:pPr>
    </w:p>
    <w:p w:rsidR="002427C9" w:rsidRDefault="002427C9">
      <w:pPr>
        <w:pStyle w:val="ListParagraph"/>
        <w:ind w:left="90"/>
        <w:rPr>
          <w:rFonts w:cs="David"/>
          <w:b/>
          <w:bCs/>
          <w:sz w:val="28"/>
          <w:szCs w:val="28"/>
          <w:u w:val="single"/>
          <w:rtl/>
        </w:rPr>
      </w:pPr>
    </w:p>
    <w:p w:rsidR="002427C9" w:rsidRDefault="00A32BC0">
      <w:pPr>
        <w:pStyle w:val="ListParagraph"/>
        <w:ind w:left="90"/>
        <w:rPr>
          <w:rFonts w:cs="David"/>
          <w:b/>
          <w:bCs/>
          <w:sz w:val="28"/>
          <w:szCs w:val="28"/>
          <w:u w:val="single"/>
          <w:rtl/>
        </w:rPr>
      </w:pPr>
      <w:r>
        <w:rPr>
          <w:rFonts w:cs="David"/>
          <w:b/>
          <w:bCs/>
          <w:sz w:val="28"/>
          <w:szCs w:val="28"/>
          <w:u w:val="single"/>
          <w:rtl/>
        </w:rPr>
        <w:t>עיקרי טענות הצדדים</w:t>
      </w:r>
    </w:p>
    <w:p w:rsidR="002427C9" w:rsidRDefault="002427C9">
      <w:pPr>
        <w:spacing w:line="360" w:lineRule="auto"/>
        <w:ind w:left="32"/>
        <w:jc w:val="both"/>
        <w:rPr>
          <w:sz w:val="26"/>
          <w:szCs w:val="26"/>
          <w:rtl/>
        </w:rPr>
      </w:pPr>
    </w:p>
    <w:p w:rsidR="002427C9" w:rsidRDefault="00A32BC0">
      <w:pPr>
        <w:numPr>
          <w:ilvl w:val="0"/>
          <w:numId w:val="1"/>
        </w:numPr>
        <w:tabs>
          <w:tab w:val="clear" w:pos="720"/>
          <w:tab w:val="num" w:pos="90"/>
        </w:tabs>
        <w:spacing w:line="360" w:lineRule="auto"/>
        <w:ind w:left="90" w:hanging="58"/>
        <w:jc w:val="both"/>
        <w:rPr>
          <w:sz w:val="26"/>
          <w:szCs w:val="26"/>
        </w:rPr>
      </w:pPr>
      <w:r>
        <w:rPr>
          <w:sz w:val="26"/>
          <w:szCs w:val="26"/>
          <w:rtl/>
        </w:rPr>
        <w:t xml:space="preserve">העותרת טענה כי היא רוצה להשיב את המצב לקדמותו בדרך של מטמנה, וכי פס"ד השלום הורה לה לעשות כן, וכי לפי פסק דין זה אין צורך בחתימת גרונפלד. </w:t>
      </w:r>
      <w:r>
        <w:rPr>
          <w:rFonts w:hint="cs"/>
          <w:sz w:val="26"/>
          <w:szCs w:val="26"/>
          <w:rtl/>
        </w:rPr>
        <w:t xml:space="preserve">                     </w:t>
      </w:r>
      <w:r>
        <w:rPr>
          <w:sz w:val="26"/>
          <w:szCs w:val="26"/>
          <w:rtl/>
        </w:rPr>
        <w:t>עוד טענה העותרת כי היא לא חפרה בחלקת גרונפלד אלא הייתה זליגת עפר מחלקה זו לחלקתה, בשל קריסת קירות של המחצבה.</w:t>
      </w:r>
    </w:p>
    <w:p w:rsidR="002427C9" w:rsidRDefault="002427C9">
      <w:pPr>
        <w:spacing w:line="360" w:lineRule="auto"/>
        <w:ind w:left="90"/>
        <w:jc w:val="both"/>
        <w:rPr>
          <w:sz w:val="26"/>
          <w:szCs w:val="26"/>
        </w:rPr>
      </w:pPr>
    </w:p>
    <w:p w:rsidR="002427C9" w:rsidRDefault="00A32BC0">
      <w:pPr>
        <w:tabs>
          <w:tab w:val="num" w:pos="90"/>
        </w:tabs>
        <w:spacing w:line="360" w:lineRule="auto"/>
        <w:ind w:left="90"/>
        <w:jc w:val="both"/>
        <w:rPr>
          <w:sz w:val="26"/>
          <w:szCs w:val="26"/>
          <w:rtl/>
        </w:rPr>
      </w:pPr>
      <w:r>
        <w:rPr>
          <w:sz w:val="26"/>
          <w:szCs w:val="26"/>
          <w:rtl/>
        </w:rPr>
        <w:t xml:space="preserve">גרונפלד טען כי תוכנית העותרת למעשה משנה את ייעוד הקרקע למטמנה, ואין לכפות עליו שינוי זה מאחר שהוא פוגע בזכותו הקניינית, שכן אם בעתיד הקרקע תופשר לבנייה, </w:t>
      </w:r>
      <w:r>
        <w:rPr>
          <w:rFonts w:hint="cs"/>
          <w:sz w:val="26"/>
          <w:szCs w:val="26"/>
          <w:rtl/>
        </w:rPr>
        <w:t xml:space="preserve">        </w:t>
      </w:r>
      <w:r>
        <w:rPr>
          <w:sz w:val="26"/>
          <w:szCs w:val="26"/>
          <w:rtl/>
        </w:rPr>
        <w:t>לא ניתן יהיה לבנות בשטח בשל המטמנה.</w:t>
      </w:r>
    </w:p>
    <w:p w:rsidR="002427C9" w:rsidRDefault="002427C9">
      <w:pPr>
        <w:tabs>
          <w:tab w:val="num" w:pos="90"/>
        </w:tabs>
        <w:spacing w:line="360" w:lineRule="auto"/>
        <w:jc w:val="both"/>
        <w:rPr>
          <w:sz w:val="26"/>
          <w:szCs w:val="26"/>
        </w:rPr>
      </w:pPr>
    </w:p>
    <w:p w:rsidR="002427C9" w:rsidRDefault="00A32BC0">
      <w:pPr>
        <w:tabs>
          <w:tab w:val="num" w:pos="90"/>
        </w:tabs>
        <w:spacing w:line="360" w:lineRule="auto"/>
        <w:ind w:left="90" w:hanging="58"/>
        <w:jc w:val="both"/>
        <w:rPr>
          <w:sz w:val="26"/>
          <w:szCs w:val="26"/>
          <w:rtl/>
        </w:rPr>
      </w:pPr>
      <w:r>
        <w:rPr>
          <w:sz w:val="26"/>
          <w:szCs w:val="26"/>
          <w:rtl/>
        </w:rPr>
        <w:tab/>
        <w:t xml:space="preserve">הועדה המחוזית טענה כי החלטתה לא זו בלבד שלא חרגה ממתחם הסבירות, אלא היא ההחלטה הראויה היחידה שניתן היה לקבל בנסיבות העניין, מאחר שמתן אישור לתוכנית שלא תואמת את המצב בשטח, מנוגדת הן לדיני התכנון והבנייה והן לשכל הישר. </w:t>
      </w:r>
      <w:r>
        <w:rPr>
          <w:rFonts w:hint="cs"/>
          <w:sz w:val="26"/>
          <w:szCs w:val="26"/>
          <w:rtl/>
        </w:rPr>
        <w:t xml:space="preserve">          </w:t>
      </w:r>
    </w:p>
    <w:p w:rsidR="002427C9" w:rsidRDefault="002427C9">
      <w:pPr>
        <w:tabs>
          <w:tab w:val="num" w:pos="90"/>
        </w:tabs>
        <w:spacing w:line="360" w:lineRule="auto"/>
        <w:ind w:left="90" w:hanging="58"/>
        <w:jc w:val="both"/>
        <w:rPr>
          <w:sz w:val="26"/>
          <w:szCs w:val="26"/>
          <w:rtl/>
        </w:rPr>
      </w:pPr>
    </w:p>
    <w:p w:rsidR="002427C9" w:rsidRDefault="002427C9">
      <w:pPr>
        <w:tabs>
          <w:tab w:val="num" w:pos="90"/>
        </w:tabs>
        <w:spacing w:line="360" w:lineRule="auto"/>
        <w:ind w:left="90" w:hanging="58"/>
        <w:jc w:val="both"/>
        <w:rPr>
          <w:sz w:val="26"/>
          <w:szCs w:val="26"/>
          <w:rtl/>
        </w:rPr>
      </w:pPr>
    </w:p>
    <w:p w:rsidR="002427C9" w:rsidRDefault="00A32BC0">
      <w:pPr>
        <w:tabs>
          <w:tab w:val="num" w:pos="90"/>
        </w:tabs>
        <w:spacing w:line="360" w:lineRule="auto"/>
        <w:ind w:left="90" w:hanging="58"/>
        <w:jc w:val="both"/>
        <w:rPr>
          <w:sz w:val="26"/>
          <w:szCs w:val="26"/>
          <w:rtl/>
        </w:rPr>
      </w:pPr>
      <w:r>
        <w:rPr>
          <w:sz w:val="26"/>
          <w:szCs w:val="26"/>
          <w:rtl/>
        </w:rPr>
        <w:t xml:space="preserve">באשר לדרישת לחתימות כל בעלי הזכויות שבתחום התוכנית, לרבות גרונפלד, </w:t>
      </w:r>
      <w:r>
        <w:rPr>
          <w:rFonts w:hint="cs"/>
          <w:sz w:val="26"/>
          <w:szCs w:val="26"/>
          <w:rtl/>
        </w:rPr>
        <w:t xml:space="preserve">              </w:t>
      </w:r>
      <w:r>
        <w:rPr>
          <w:sz w:val="26"/>
          <w:szCs w:val="26"/>
          <w:rtl/>
        </w:rPr>
        <w:t>טענה הוועדה כי זוהי דרישה סבירה ביותר שנוהגת הועדה לדרוש בכל תוכנית.</w:t>
      </w:r>
    </w:p>
    <w:p w:rsidR="002427C9" w:rsidRDefault="002427C9">
      <w:pPr>
        <w:spacing w:line="360" w:lineRule="auto"/>
        <w:ind w:firstLine="90"/>
        <w:jc w:val="both"/>
        <w:rPr>
          <w:b/>
          <w:bCs/>
          <w:sz w:val="28"/>
          <w:szCs w:val="28"/>
          <w:u w:val="single"/>
          <w:rtl/>
        </w:rPr>
      </w:pPr>
    </w:p>
    <w:p w:rsidR="002427C9" w:rsidRDefault="00A32BC0">
      <w:pPr>
        <w:spacing w:line="360" w:lineRule="auto"/>
        <w:ind w:firstLine="90"/>
        <w:jc w:val="both"/>
        <w:rPr>
          <w:b/>
          <w:bCs/>
          <w:sz w:val="28"/>
          <w:szCs w:val="28"/>
          <w:u w:val="single"/>
          <w:rtl/>
        </w:rPr>
      </w:pPr>
      <w:r>
        <w:rPr>
          <w:b/>
          <w:bCs/>
          <w:sz w:val="28"/>
          <w:szCs w:val="28"/>
          <w:u w:val="single"/>
          <w:rtl/>
        </w:rPr>
        <w:t>דיון</w:t>
      </w:r>
    </w:p>
    <w:p w:rsidR="002427C9" w:rsidRDefault="002427C9">
      <w:pPr>
        <w:spacing w:line="360" w:lineRule="auto"/>
        <w:ind w:firstLine="90"/>
        <w:jc w:val="both"/>
        <w:rPr>
          <w:b/>
          <w:bCs/>
          <w:sz w:val="28"/>
          <w:szCs w:val="28"/>
          <w:u w:val="single"/>
          <w:rtl/>
        </w:rPr>
      </w:pPr>
    </w:p>
    <w:p w:rsidR="002427C9" w:rsidRDefault="00A32BC0">
      <w:pPr>
        <w:numPr>
          <w:ilvl w:val="0"/>
          <w:numId w:val="1"/>
        </w:numPr>
        <w:tabs>
          <w:tab w:val="clear" w:pos="720"/>
          <w:tab w:val="num" w:pos="90"/>
        </w:tabs>
        <w:spacing w:line="360" w:lineRule="auto"/>
        <w:ind w:left="90" w:hanging="58"/>
        <w:jc w:val="both"/>
        <w:rPr>
          <w:sz w:val="26"/>
          <w:szCs w:val="26"/>
        </w:rPr>
      </w:pPr>
      <w:r>
        <w:rPr>
          <w:sz w:val="26"/>
          <w:szCs w:val="26"/>
          <w:rtl/>
        </w:rPr>
        <w:t>אפתח ואבהיר, כי בימ"ש השלום חייב את העותרת לשקם את הבור, אך לא קבע מהי דרך השיקום, ולא נכנס לפרטיה ולתנאיה:</w:t>
      </w:r>
    </w:p>
    <w:p w:rsidR="002427C9" w:rsidRDefault="002427C9">
      <w:pPr>
        <w:tabs>
          <w:tab w:val="left" w:pos="386"/>
        </w:tabs>
        <w:spacing w:line="300" w:lineRule="exact"/>
        <w:ind w:left="720"/>
        <w:jc w:val="both"/>
        <w:rPr>
          <w:sz w:val="14"/>
          <w:szCs w:val="14"/>
        </w:rPr>
      </w:pPr>
    </w:p>
    <w:p w:rsidR="002427C9" w:rsidRDefault="00A32BC0">
      <w:pPr>
        <w:tabs>
          <w:tab w:val="left" w:pos="386"/>
        </w:tabs>
        <w:spacing w:line="360" w:lineRule="auto"/>
        <w:ind w:left="1082" w:right="851"/>
        <w:jc w:val="both"/>
        <w:rPr>
          <w:sz w:val="26"/>
          <w:szCs w:val="26"/>
        </w:rPr>
      </w:pPr>
      <w:r>
        <w:rPr>
          <w:b/>
          <w:bCs/>
          <w:sz w:val="26"/>
          <w:szCs w:val="26"/>
          <w:rtl/>
        </w:rPr>
        <w:t xml:space="preserve">"מהאמור לעיל עולה כי חובתה של נאות לירן היא לדאוג לאישור תכנית שיקום על ידי הוועדה המקומית לתכנון ולבנייה. ידוע מהדיונים שהתקיימו בפני בית המשפט כי קיימת מחלוקת בין נאות לירן לבין גרונפלד והמשקים לגבי תכנית השיקום, שעה שנאות לירן מבקשת שייעודו של אתר הכרייה יהיה אתר להטמנת פסולת, וכי לכך מתנגדים גרונפלד והמשקים, או שמתנים הם תנאים להסכמתם לכך. </w:t>
      </w:r>
      <w:r>
        <w:rPr>
          <w:b/>
          <w:bCs/>
          <w:sz w:val="26"/>
          <w:szCs w:val="26"/>
          <w:rtl/>
        </w:rPr>
        <w:lastRenderedPageBreak/>
        <w:t xml:space="preserve">כאמור לעיל, </w:t>
      </w:r>
      <w:r>
        <w:rPr>
          <w:b/>
          <w:bCs/>
          <w:sz w:val="26"/>
          <w:szCs w:val="26"/>
          <w:u w:val="single"/>
          <w:rtl/>
        </w:rPr>
        <w:t>נושא ייעוד אתר הכרייה לאחר שיקומו אינו מעניינו של תיק זה</w:t>
      </w:r>
      <w:r>
        <w:rPr>
          <w:b/>
          <w:bCs/>
          <w:sz w:val="26"/>
          <w:szCs w:val="26"/>
          <w:rtl/>
        </w:rPr>
        <w:t xml:space="preserve">. </w:t>
      </w:r>
      <w:r>
        <w:rPr>
          <w:sz w:val="26"/>
          <w:szCs w:val="26"/>
          <w:rtl/>
        </w:rPr>
        <w:t>(ההדגשות כאן ולהלן שלי, י"ש).</w:t>
      </w:r>
    </w:p>
    <w:p w:rsidR="002427C9" w:rsidRDefault="002427C9">
      <w:pPr>
        <w:tabs>
          <w:tab w:val="left" w:pos="386"/>
        </w:tabs>
        <w:spacing w:line="360" w:lineRule="auto"/>
        <w:ind w:left="1082" w:right="851"/>
        <w:jc w:val="both"/>
        <w:rPr>
          <w:b/>
          <w:bCs/>
          <w:sz w:val="14"/>
          <w:szCs w:val="14"/>
        </w:rPr>
      </w:pPr>
    </w:p>
    <w:p w:rsidR="002427C9" w:rsidRDefault="00A32BC0">
      <w:pPr>
        <w:tabs>
          <w:tab w:val="left" w:pos="386"/>
        </w:tabs>
        <w:spacing w:line="360" w:lineRule="auto"/>
        <w:ind w:left="1082" w:right="851"/>
        <w:jc w:val="both"/>
        <w:rPr>
          <w:b/>
          <w:bCs/>
          <w:sz w:val="26"/>
          <w:szCs w:val="26"/>
        </w:rPr>
      </w:pPr>
      <w:r>
        <w:rPr>
          <w:b/>
          <w:bCs/>
          <w:sz w:val="26"/>
          <w:szCs w:val="26"/>
          <w:rtl/>
        </w:rPr>
        <w:t>עם זאת, החזרת המצב לקדמותו היא אחד הסעדים המבוקשים, ואין להניח לסעד זה בלא כלום. ברור כי האחריות הראשונית להשבת המצב לקדמותו מוטלת על נאות לירן, ומהאמור לעיל, והגם ששילמה לקרן סכומים לצורך השיקום, מוטל עליה בראש ובראשונה לדאוג לתכנית שיקום שתאושר על ידי הוועדה המקומית לתכנון ולבנייה. אם אין בידה להביא לאישור תכנית להקמת מטמנה לפסולת באתר, הרי צריכה היא להביא לאישור שיקום "רגיל" וסטנדרטי, ויש להניח כי לא תהיה מניעה לכך.</w:t>
      </w:r>
    </w:p>
    <w:p w:rsidR="002427C9" w:rsidRDefault="002427C9">
      <w:pPr>
        <w:spacing w:line="360" w:lineRule="auto"/>
        <w:ind w:left="1082" w:right="851"/>
        <w:jc w:val="both"/>
        <w:rPr>
          <w:b/>
          <w:bCs/>
          <w:sz w:val="14"/>
          <w:szCs w:val="14"/>
        </w:rPr>
      </w:pPr>
    </w:p>
    <w:p w:rsidR="002427C9" w:rsidRDefault="00A32BC0">
      <w:pPr>
        <w:tabs>
          <w:tab w:val="left" w:pos="386"/>
        </w:tabs>
        <w:spacing w:line="360" w:lineRule="auto"/>
        <w:ind w:left="1082" w:right="851"/>
        <w:jc w:val="both"/>
        <w:rPr>
          <w:b/>
          <w:bCs/>
          <w:sz w:val="26"/>
          <w:szCs w:val="26"/>
        </w:rPr>
      </w:pPr>
      <w:r>
        <w:rPr>
          <w:b/>
          <w:bCs/>
          <w:sz w:val="26"/>
          <w:szCs w:val="26"/>
          <w:rtl/>
        </w:rPr>
        <w:t>... שאלת ייעודו של השטח המשוקם שנויה במחלוקת בין הצדדים, וגרונפלד הודיע כי אינו מעוניין כי נושא זה יידון במסגרת התביעה הנוכחית".</w:t>
      </w:r>
    </w:p>
    <w:p w:rsidR="002427C9" w:rsidRDefault="00A32BC0">
      <w:pPr>
        <w:spacing w:line="360" w:lineRule="auto"/>
        <w:ind w:left="572"/>
        <w:jc w:val="both"/>
        <w:rPr>
          <w:b/>
          <w:bCs/>
          <w:sz w:val="26"/>
          <w:szCs w:val="26"/>
          <w:rtl/>
        </w:rPr>
      </w:pPr>
      <w:r>
        <w:rPr>
          <w:b/>
          <w:bCs/>
          <w:sz w:val="26"/>
          <w:szCs w:val="26"/>
          <w:rtl/>
        </w:rPr>
        <w:tab/>
      </w:r>
    </w:p>
    <w:p w:rsidR="002427C9" w:rsidRDefault="002427C9">
      <w:pPr>
        <w:spacing w:line="360" w:lineRule="auto"/>
        <w:ind w:left="572"/>
        <w:jc w:val="both"/>
        <w:rPr>
          <w:sz w:val="26"/>
          <w:szCs w:val="26"/>
          <w:rtl/>
        </w:rPr>
      </w:pPr>
    </w:p>
    <w:p w:rsidR="002427C9" w:rsidRDefault="002427C9">
      <w:pPr>
        <w:spacing w:line="360" w:lineRule="auto"/>
        <w:ind w:left="572"/>
        <w:jc w:val="both"/>
        <w:rPr>
          <w:sz w:val="26"/>
          <w:szCs w:val="26"/>
          <w:rtl/>
        </w:rPr>
      </w:pPr>
    </w:p>
    <w:p w:rsidR="002427C9" w:rsidRDefault="00A32BC0">
      <w:pPr>
        <w:spacing w:line="360" w:lineRule="auto"/>
        <w:ind w:left="572"/>
        <w:jc w:val="both"/>
        <w:rPr>
          <w:sz w:val="26"/>
          <w:szCs w:val="26"/>
          <w:rtl/>
        </w:rPr>
      </w:pPr>
      <w:r>
        <w:rPr>
          <w:sz w:val="26"/>
          <w:szCs w:val="26"/>
          <w:rtl/>
        </w:rPr>
        <w:t>אין לקבל את הגישה כי העותרת, שגרמה נזק לגרונפלד, בין בזדון ובין ברשלנות, תכפה עליו בנוסף גם לשנות את הייעוד למטמנה לתועלתה היא, במקום להשיב את המצב לקדמות</w:t>
      </w:r>
      <w:r>
        <w:rPr>
          <w:rFonts w:hint="cs"/>
          <w:sz w:val="26"/>
          <w:szCs w:val="26"/>
          <w:rtl/>
        </w:rPr>
        <w:t>ו</w:t>
      </w:r>
      <w:r>
        <w:rPr>
          <w:sz w:val="26"/>
          <w:szCs w:val="26"/>
          <w:rtl/>
        </w:rPr>
        <w:t>. צעד כזה עלול לגרום לגרונפלד נזק בעתיד, באם תופשר הקרקע החקלאית לבנייה. מבחינת עקרון תום הלב ודאי שאין למעוול זכות קנויה לקבוע כיצד לתקן את הנזק והעיקרון הבסיסי החל הוא השבת המצב לקדמותו (ראו למשל: סעיפים 3, 29, 35-36, 48א, 72 ו- 74 ל</w:t>
      </w:r>
      <w:hyperlink r:id="rId8" w:history="1">
        <w:r w:rsidRPr="00A32BC0">
          <w:rPr>
            <w:b/>
            <w:bCs/>
            <w:color w:val="0000FF"/>
            <w:sz w:val="26"/>
            <w:szCs w:val="26"/>
            <w:u w:val="single"/>
            <w:rtl/>
          </w:rPr>
          <w:t>פקודת הנזיקין</w:t>
        </w:r>
      </w:hyperlink>
      <w:r>
        <w:rPr>
          <w:b/>
          <w:bCs/>
          <w:sz w:val="26"/>
          <w:szCs w:val="26"/>
          <w:rtl/>
        </w:rPr>
        <w:t xml:space="preserve"> [נוסח חדש]</w:t>
      </w:r>
      <w:r>
        <w:rPr>
          <w:sz w:val="26"/>
          <w:szCs w:val="26"/>
          <w:rtl/>
        </w:rPr>
        <w:t>). לפיכך, לא הוכחה ע"י העותרת חריגה ממתחם הסבירות בדרישת הוועדה לקבל הסכמת הבעלים של כל הקרקעות שהן חלק מחלקת התוכנית. לא זו אף זו, לפי היתר הכרייה מיום 9.5.2002 מילוי הבורות בתום הכרייה ייעשה ע"י העותרת בעפר בלבד (נספח ד' לתגובת הוועדה לעתירה – "</w:t>
      </w:r>
      <w:r>
        <w:rPr>
          <w:b/>
          <w:bCs/>
          <w:sz w:val="26"/>
          <w:szCs w:val="26"/>
          <w:rtl/>
        </w:rPr>
        <w:t>נספח להיתר מספר 6830</w:t>
      </w:r>
      <w:r>
        <w:rPr>
          <w:sz w:val="26"/>
          <w:szCs w:val="26"/>
          <w:rtl/>
        </w:rPr>
        <w:t>").</w:t>
      </w:r>
    </w:p>
    <w:p w:rsidR="002427C9" w:rsidRDefault="002427C9">
      <w:pPr>
        <w:spacing w:line="360" w:lineRule="auto"/>
        <w:ind w:left="572"/>
        <w:jc w:val="both"/>
        <w:rPr>
          <w:sz w:val="26"/>
          <w:szCs w:val="26"/>
          <w:rtl/>
        </w:rPr>
      </w:pPr>
    </w:p>
    <w:p w:rsidR="002427C9" w:rsidRDefault="00A32BC0">
      <w:pPr>
        <w:spacing w:line="360" w:lineRule="auto"/>
        <w:ind w:left="572"/>
        <w:jc w:val="both"/>
        <w:rPr>
          <w:sz w:val="26"/>
          <w:szCs w:val="26"/>
          <w:rtl/>
        </w:rPr>
      </w:pPr>
      <w:r>
        <w:rPr>
          <w:sz w:val="26"/>
          <w:szCs w:val="26"/>
          <w:rtl/>
        </w:rPr>
        <w:t xml:space="preserve">הגם שלגרונפלד רק חלק קטן בבור, לוועדה המקומית ולוועדה המחוזית אין סמכות לפגוע בזכות הקניין שלו (לפי </w:t>
      </w:r>
      <w:hyperlink r:id="rId9" w:history="1">
        <w:r w:rsidRPr="00A32BC0">
          <w:rPr>
            <w:b/>
            <w:bCs/>
            <w:color w:val="0000FF"/>
            <w:sz w:val="26"/>
            <w:szCs w:val="26"/>
            <w:u w:val="single"/>
            <w:rtl/>
          </w:rPr>
          <w:t>חוק יסוד: כבוד האדם וחירותו</w:t>
        </w:r>
      </w:hyperlink>
      <w:r>
        <w:rPr>
          <w:sz w:val="26"/>
          <w:szCs w:val="26"/>
          <w:rtl/>
        </w:rPr>
        <w:t>). תוכנית השיקום היא ביוזמת העותרת, שהיא גוף פרטי, ולא ביוזמת הועדה המקומית</w:t>
      </w:r>
      <w:r>
        <w:rPr>
          <w:rFonts w:hint="cs"/>
          <w:sz w:val="26"/>
          <w:szCs w:val="26"/>
          <w:rtl/>
        </w:rPr>
        <w:t>,</w:t>
      </w:r>
      <w:r>
        <w:rPr>
          <w:sz w:val="26"/>
          <w:szCs w:val="26"/>
          <w:rtl/>
        </w:rPr>
        <w:t xml:space="preserve"> שלא מצאה מצידה עניין ליזום את התוכנית, והועדה המחוזית לא ראתה לכפות על הועדה המקומית ליזום תוכנית שכזו. משמע, אינטרס הציבור אינו מחייב דווקא את התכנית כפי שהוגשה ע"י העותרת. בנסיבות, אין בסמכות הועדה המחוזית לכפות על גרונפלד את אישור התוכנית בעל כורחו, ללא הסכמתו וחתימתו. </w:t>
      </w:r>
      <w:r>
        <w:rPr>
          <w:rFonts w:hint="cs"/>
          <w:sz w:val="26"/>
          <w:szCs w:val="26"/>
          <w:rtl/>
        </w:rPr>
        <w:t xml:space="preserve">הועדה אינה צריכה לנקוט עמדה </w:t>
      </w:r>
      <w:r>
        <w:rPr>
          <w:rFonts w:hint="cs"/>
          <w:sz w:val="26"/>
          <w:szCs w:val="26"/>
          <w:rtl/>
        </w:rPr>
        <w:lastRenderedPageBreak/>
        <w:t xml:space="preserve">בסכסוך בין בעלי קרקעות וטוב שלא נגררה לכך. </w:t>
      </w:r>
      <w:r>
        <w:rPr>
          <w:sz w:val="26"/>
          <w:szCs w:val="26"/>
          <w:rtl/>
        </w:rPr>
        <w:t>זכותו של גרונפלד לדרוש להשיב את המצב לקדמותו במילוי, בדיוק כפי שהיה עובר לנזק שנגרם לחלקתו. גם בהנחה שכטענת העותרת, הנזק נגרם בשל קריסה ולא בזדון, אין זה רלוונטי לעניינינו. העותרת לא הוכיחה כי לא יכלה לצפות את הקריסה, כשהיא כורה חול ממש על גבול החלקה של גרונפלד, ולא הוכח שלא ניתן היה למנוע את הנזק בנקיטת אמצעי זהירות סבירים כגון בניית קירות חציבה תקניים, תמיכות, או חיזוקים מתאימים למניעת הקריסה. בהקשר זה אני מוצאת להפנות לממצאיו של בימ"ש השלום:</w:t>
      </w:r>
    </w:p>
    <w:p w:rsidR="002427C9" w:rsidRDefault="002427C9">
      <w:pPr>
        <w:spacing w:line="360" w:lineRule="auto"/>
        <w:ind w:left="572"/>
        <w:jc w:val="both"/>
        <w:rPr>
          <w:sz w:val="14"/>
          <w:szCs w:val="14"/>
          <w:rtl/>
        </w:rPr>
      </w:pPr>
    </w:p>
    <w:p w:rsidR="002427C9" w:rsidRDefault="00A32BC0">
      <w:pPr>
        <w:tabs>
          <w:tab w:val="left" w:pos="386"/>
        </w:tabs>
        <w:spacing w:line="360" w:lineRule="auto"/>
        <w:ind w:left="1082" w:right="851"/>
        <w:jc w:val="both"/>
        <w:rPr>
          <w:b/>
          <w:bCs/>
          <w:sz w:val="26"/>
          <w:szCs w:val="26"/>
          <w:rtl/>
        </w:rPr>
      </w:pPr>
      <w:r>
        <w:rPr>
          <w:b/>
          <w:bCs/>
          <w:sz w:val="26"/>
          <w:szCs w:val="26"/>
          <w:rtl/>
        </w:rPr>
        <w:t xml:space="preserve">"נאות לירן </w:t>
      </w:r>
      <w:r>
        <w:rPr>
          <w:b/>
          <w:bCs/>
          <w:sz w:val="26"/>
          <w:szCs w:val="26"/>
          <w:u w:val="single"/>
          <w:rtl/>
        </w:rPr>
        <w:t>לא היתה רשאית לפגוע בחלקה 14 ולכרות חול ממנה</w:t>
      </w:r>
      <w:r>
        <w:rPr>
          <w:b/>
          <w:bCs/>
          <w:sz w:val="26"/>
          <w:szCs w:val="26"/>
          <w:rtl/>
        </w:rPr>
        <w:t xml:space="preserve">. אף כאן, אין חשיבות לשאלה האם הכריה נעשתה בכוונה תחילה או עקב התמוטטות דפנות המחצבה וזליגת חול מחלקה 14. גם אם האפשרות השניה הנוחה יותר לנאות לירן היא הנכונה, אין הדבר גורע מאחריותה, </w:t>
      </w:r>
      <w:r>
        <w:rPr>
          <w:b/>
          <w:bCs/>
          <w:sz w:val="26"/>
          <w:szCs w:val="26"/>
          <w:u w:val="single"/>
          <w:rtl/>
        </w:rPr>
        <w:t>שכן היה עליה לבצע את הכריה תוך נקיטת אמצעי זהירות שלא ייפגעו החלקות הסמוכות, ובכלל זה, היה עליה לדאוג לכך שלא תתרחש התמוטטות של הדפנות וכי לא תיפגע חלקה 14</w:t>
      </w:r>
      <w:r>
        <w:rPr>
          <w:b/>
          <w:bCs/>
          <w:sz w:val="26"/>
          <w:szCs w:val="26"/>
          <w:rtl/>
        </w:rPr>
        <w:t>". (סע' 44 לפסה"ד).</w:t>
      </w:r>
    </w:p>
    <w:p w:rsidR="002427C9" w:rsidRDefault="002427C9">
      <w:pPr>
        <w:tabs>
          <w:tab w:val="left" w:pos="386"/>
        </w:tabs>
        <w:spacing w:line="360" w:lineRule="auto"/>
        <w:ind w:left="1082" w:right="851"/>
        <w:jc w:val="both"/>
        <w:rPr>
          <w:b/>
          <w:bCs/>
          <w:sz w:val="12"/>
          <w:szCs w:val="12"/>
        </w:rPr>
      </w:pPr>
    </w:p>
    <w:p w:rsidR="002427C9" w:rsidRDefault="00A32BC0">
      <w:pPr>
        <w:tabs>
          <w:tab w:val="left" w:pos="386"/>
        </w:tabs>
        <w:spacing w:line="360" w:lineRule="auto"/>
        <w:ind w:left="1082" w:right="851"/>
        <w:jc w:val="both"/>
        <w:rPr>
          <w:b/>
          <w:bCs/>
          <w:sz w:val="26"/>
          <w:szCs w:val="26"/>
        </w:rPr>
      </w:pPr>
      <w:r>
        <w:rPr>
          <w:b/>
          <w:bCs/>
          <w:sz w:val="26"/>
          <w:szCs w:val="26"/>
          <w:rtl/>
        </w:rPr>
        <w:t xml:space="preserve">"אין מחלוקת כי נאות לירן חרגה מתנאי ההיתר וכרתה כמות חול העולה על הכמות המאושרת. הדברים עולים ממכתבו של ד"ר מימרן מיום 2.10.05 (נספח "ג" לתצהיר גרונפלד) המציין כי החריגה נובעת ממספר מקורות: </w:t>
      </w:r>
      <w:r>
        <w:rPr>
          <w:b/>
          <w:bCs/>
          <w:sz w:val="26"/>
          <w:szCs w:val="26"/>
          <w:u w:val="single"/>
          <w:rtl/>
        </w:rPr>
        <w:t>אי הקפדה על קירות חציבה תקניים</w:t>
      </w:r>
      <w:r>
        <w:rPr>
          <w:b/>
          <w:bCs/>
          <w:sz w:val="26"/>
          <w:szCs w:val="26"/>
          <w:rtl/>
        </w:rPr>
        <w:t xml:space="preserve">, </w:t>
      </w:r>
      <w:r>
        <w:rPr>
          <w:b/>
          <w:bCs/>
          <w:sz w:val="26"/>
          <w:szCs w:val="26"/>
          <w:u w:val="single"/>
          <w:rtl/>
        </w:rPr>
        <w:t>חריגה לתוך שטחים שכנים</w:t>
      </w:r>
      <w:r>
        <w:rPr>
          <w:b/>
          <w:bCs/>
          <w:sz w:val="26"/>
          <w:szCs w:val="26"/>
          <w:rtl/>
        </w:rPr>
        <w:t xml:space="preserve"> וירידה לעומק מעבר לתכנית המאושרת. ד"ר מימרן חזר על כך גם בחקירתו בבית המשפט (עמ' 49, 51). (סע' 45 לפסה"ד).</w:t>
      </w:r>
    </w:p>
    <w:p w:rsidR="002427C9" w:rsidRDefault="002427C9">
      <w:pPr>
        <w:tabs>
          <w:tab w:val="left" w:pos="386"/>
        </w:tabs>
        <w:spacing w:line="360" w:lineRule="auto"/>
        <w:ind w:left="1082" w:right="851"/>
        <w:jc w:val="both"/>
        <w:rPr>
          <w:b/>
          <w:bCs/>
          <w:sz w:val="14"/>
          <w:szCs w:val="14"/>
          <w:rtl/>
        </w:rPr>
      </w:pPr>
    </w:p>
    <w:p w:rsidR="002427C9" w:rsidRDefault="00A32BC0">
      <w:pPr>
        <w:tabs>
          <w:tab w:val="left" w:pos="386"/>
        </w:tabs>
        <w:spacing w:line="360" w:lineRule="auto"/>
        <w:ind w:left="1082" w:right="851"/>
        <w:jc w:val="both"/>
        <w:rPr>
          <w:b/>
          <w:bCs/>
          <w:sz w:val="26"/>
          <w:szCs w:val="26"/>
        </w:rPr>
      </w:pPr>
      <w:r>
        <w:rPr>
          <w:b/>
          <w:bCs/>
          <w:sz w:val="26"/>
          <w:szCs w:val="26"/>
          <w:rtl/>
        </w:rPr>
        <w:t xml:space="preserve">"שעבני </w:t>
      </w:r>
      <w:r>
        <w:rPr>
          <w:sz w:val="26"/>
          <w:szCs w:val="26"/>
          <w:rtl/>
        </w:rPr>
        <w:t>(אחד הבעלים של העותרת - י"ש)</w:t>
      </w:r>
      <w:r>
        <w:rPr>
          <w:b/>
          <w:bCs/>
          <w:sz w:val="26"/>
          <w:szCs w:val="26"/>
          <w:rtl/>
        </w:rPr>
        <w:t xml:space="preserve"> אישר כי נאות לירן פעלה שלא כשורה...</w:t>
      </w:r>
      <w:r>
        <w:rPr>
          <w:b/>
          <w:bCs/>
          <w:sz w:val="26"/>
          <w:szCs w:val="26"/>
          <w:u w:val="single"/>
          <w:rtl/>
        </w:rPr>
        <w:t xml:space="preserve">ויש לקבוע כי החול החסר בחלקה 14 נובע למצער מהתרשלותה של נאות לירן בביצוע עבודות הכריה, ובאי קיום תנאי ההיתר על ידה </w:t>
      </w:r>
      <w:r>
        <w:rPr>
          <w:b/>
          <w:bCs/>
          <w:sz w:val="26"/>
          <w:szCs w:val="26"/>
          <w:rtl/>
        </w:rPr>
        <w:t xml:space="preserve">(ור' גם עדות שעבני בעמ' 158 ש' 16-17: "הוא התמוטט על החול שלנו, קלקל גם את החול שלנו, אבל היינו אשמים ולכן אנחנו לא תובעים..."), </w:t>
      </w:r>
      <w:r>
        <w:rPr>
          <w:b/>
          <w:bCs/>
          <w:sz w:val="26"/>
          <w:szCs w:val="26"/>
          <w:u w:val="single"/>
          <w:rtl/>
        </w:rPr>
        <w:t>כשאין לשלול גם ביצוע כרייה של ממש על ידי הנתבעים בחלקה 14</w:t>
      </w:r>
      <w:r>
        <w:rPr>
          <w:b/>
          <w:bCs/>
          <w:sz w:val="26"/>
          <w:szCs w:val="26"/>
          <w:rtl/>
        </w:rPr>
        <w:t>". (סע' 46 לפסה"ד).</w:t>
      </w:r>
    </w:p>
    <w:p w:rsidR="002427C9" w:rsidRDefault="002427C9">
      <w:pPr>
        <w:tabs>
          <w:tab w:val="left" w:pos="386"/>
        </w:tabs>
        <w:spacing w:line="360" w:lineRule="auto"/>
        <w:ind w:left="1082" w:right="851"/>
        <w:jc w:val="both"/>
        <w:rPr>
          <w:b/>
          <w:bCs/>
          <w:sz w:val="14"/>
          <w:szCs w:val="14"/>
          <w:rtl/>
        </w:rPr>
      </w:pPr>
    </w:p>
    <w:p w:rsidR="002427C9" w:rsidRDefault="00A32BC0">
      <w:pPr>
        <w:tabs>
          <w:tab w:val="left" w:pos="386"/>
        </w:tabs>
        <w:spacing w:line="360" w:lineRule="auto"/>
        <w:ind w:left="1082" w:right="851"/>
        <w:jc w:val="both"/>
        <w:rPr>
          <w:b/>
          <w:bCs/>
          <w:sz w:val="26"/>
          <w:szCs w:val="26"/>
          <w:rtl/>
        </w:rPr>
      </w:pPr>
      <w:r>
        <w:rPr>
          <w:b/>
          <w:bCs/>
          <w:sz w:val="26"/>
          <w:szCs w:val="26"/>
          <w:rtl/>
        </w:rPr>
        <w:t>"שעבני חזר גם לא אחת על כך שמגיע לגרונפלד פיצוי..."...לקחנו אחריות ואנחנו רוצים לשלם פיצוי...". (סע' 47 לפסה"ד).</w:t>
      </w:r>
    </w:p>
    <w:p w:rsidR="002427C9" w:rsidRDefault="002427C9">
      <w:pPr>
        <w:tabs>
          <w:tab w:val="left" w:pos="386"/>
        </w:tabs>
        <w:spacing w:line="360" w:lineRule="auto"/>
        <w:ind w:left="1082" w:right="851"/>
        <w:jc w:val="both"/>
        <w:rPr>
          <w:sz w:val="26"/>
          <w:szCs w:val="26"/>
          <w:rtl/>
        </w:rPr>
      </w:pPr>
    </w:p>
    <w:p w:rsidR="002427C9" w:rsidRDefault="00A32BC0">
      <w:pPr>
        <w:tabs>
          <w:tab w:val="left" w:pos="386"/>
        </w:tabs>
        <w:spacing w:line="360" w:lineRule="auto"/>
        <w:ind w:left="1082" w:right="851"/>
        <w:jc w:val="both"/>
        <w:rPr>
          <w:sz w:val="26"/>
          <w:szCs w:val="26"/>
          <w:rtl/>
        </w:rPr>
      </w:pPr>
      <w:r>
        <w:rPr>
          <w:sz w:val="26"/>
          <w:szCs w:val="26"/>
          <w:rtl/>
        </w:rPr>
        <w:tab/>
      </w:r>
      <w:r>
        <w:rPr>
          <w:sz w:val="26"/>
          <w:szCs w:val="26"/>
          <w:rtl/>
        </w:rPr>
        <w:tab/>
      </w:r>
      <w:r>
        <w:rPr>
          <w:sz w:val="26"/>
          <w:szCs w:val="26"/>
          <w:rtl/>
        </w:rPr>
        <w:tab/>
      </w:r>
      <w:r>
        <w:rPr>
          <w:sz w:val="26"/>
          <w:szCs w:val="26"/>
          <w:rtl/>
        </w:rPr>
        <w:tab/>
      </w:r>
      <w:r>
        <w:rPr>
          <w:rFonts w:hint="cs"/>
          <w:sz w:val="26"/>
          <w:szCs w:val="26"/>
          <w:rtl/>
        </w:rPr>
        <w:t xml:space="preserve">           </w:t>
      </w:r>
      <w:r>
        <w:rPr>
          <w:sz w:val="26"/>
          <w:szCs w:val="26"/>
          <w:rtl/>
        </w:rPr>
        <w:t>(כל ההדגשות כאן ולהלן שלי – י' ש')</w:t>
      </w:r>
    </w:p>
    <w:p w:rsidR="002427C9" w:rsidRDefault="002427C9">
      <w:pPr>
        <w:tabs>
          <w:tab w:val="left" w:pos="386"/>
        </w:tabs>
        <w:spacing w:line="360" w:lineRule="auto"/>
        <w:ind w:left="1082" w:right="851"/>
        <w:jc w:val="both"/>
        <w:rPr>
          <w:b/>
          <w:bCs/>
          <w:sz w:val="26"/>
          <w:szCs w:val="26"/>
          <w:rtl/>
        </w:rPr>
      </w:pPr>
    </w:p>
    <w:p w:rsidR="002427C9" w:rsidRDefault="00A32BC0">
      <w:pPr>
        <w:numPr>
          <w:ilvl w:val="0"/>
          <w:numId w:val="1"/>
        </w:numPr>
        <w:tabs>
          <w:tab w:val="clear" w:pos="720"/>
          <w:tab w:val="num" w:pos="572"/>
        </w:tabs>
        <w:spacing w:line="360" w:lineRule="auto"/>
        <w:ind w:left="572" w:hanging="540"/>
        <w:jc w:val="both"/>
        <w:rPr>
          <w:sz w:val="26"/>
          <w:szCs w:val="26"/>
          <w:rtl/>
        </w:rPr>
      </w:pPr>
      <w:r>
        <w:rPr>
          <w:sz w:val="26"/>
          <w:szCs w:val="26"/>
          <w:rtl/>
        </w:rPr>
        <w:t xml:space="preserve">הפסיקה קובעת כי אחד השיקולים שעל רשויות התכנון לקחת בחשבון באישור תוכניות הוא אי מתן הכשר לעבירות בנייה על מנת שלא לעודד עבריינות בנייה. </w:t>
      </w:r>
      <w:r>
        <w:rPr>
          <w:rFonts w:hint="cs"/>
          <w:sz w:val="26"/>
          <w:szCs w:val="26"/>
          <w:rtl/>
        </w:rPr>
        <w:t xml:space="preserve">     </w:t>
      </w:r>
      <w:r>
        <w:rPr>
          <w:sz w:val="26"/>
          <w:szCs w:val="26"/>
          <w:rtl/>
        </w:rPr>
        <w:t xml:space="preserve">יתירה מכך, נקבע בפסיקת ביהמ"ש העליון כי במקרים של עבירות בנייה חריגות, </w:t>
      </w:r>
      <w:r>
        <w:rPr>
          <w:rFonts w:hint="cs"/>
          <w:sz w:val="26"/>
          <w:szCs w:val="26"/>
          <w:rtl/>
        </w:rPr>
        <w:t xml:space="preserve">      </w:t>
      </w:r>
      <w:r>
        <w:rPr>
          <w:sz w:val="26"/>
          <w:szCs w:val="26"/>
          <w:rtl/>
        </w:rPr>
        <w:t>די בשיקול זה לבדו על מנת להצדיק את סירוב רשויות התכנון לאשר תוכנית שכזו:</w:t>
      </w:r>
    </w:p>
    <w:p w:rsidR="002427C9" w:rsidRDefault="002427C9">
      <w:pPr>
        <w:spacing w:line="360" w:lineRule="auto"/>
        <w:ind w:left="572"/>
        <w:jc w:val="both"/>
        <w:rPr>
          <w:sz w:val="14"/>
          <w:szCs w:val="14"/>
          <w:rtl/>
        </w:rPr>
      </w:pPr>
    </w:p>
    <w:p w:rsidR="002427C9" w:rsidRDefault="00A32BC0">
      <w:pPr>
        <w:tabs>
          <w:tab w:val="left" w:pos="386"/>
        </w:tabs>
        <w:spacing w:line="360" w:lineRule="auto"/>
        <w:ind w:left="1082" w:right="851"/>
        <w:jc w:val="both"/>
        <w:rPr>
          <w:b/>
          <w:bCs/>
          <w:sz w:val="26"/>
          <w:szCs w:val="26"/>
        </w:rPr>
      </w:pPr>
      <w:r>
        <w:rPr>
          <w:b/>
          <w:bCs/>
          <w:sz w:val="26"/>
          <w:szCs w:val="26"/>
          <w:rtl/>
        </w:rPr>
        <w:t xml:space="preserve">"לית מאן דפליג כי נבנו בשכונת הבריכה לפחות 56 יחידות דיור בלא שאושרה קודם לכן תוכנית מפורטת וממילא בלא שניתנו היתרים לבנייתם. בנייה בנסיבות אלו פוגעת פגיעה קשה בשלטון החוק...קשה להפריז במשקלו של אינטרס השמירה על שלטון החוק בנסיבות מעין אלו. להשקפתי, </w:t>
      </w:r>
      <w:r>
        <w:rPr>
          <w:b/>
          <w:bCs/>
          <w:sz w:val="26"/>
          <w:szCs w:val="26"/>
          <w:u w:val="single"/>
          <w:rtl/>
        </w:rPr>
        <w:t>במצב דברים זה, החלטה לדחות את התכנית מטעם זה בלבד, אם הייתה מתקבלת, הייתה מצויה בגדרי מתחם הסבירות</w:t>
      </w:r>
      <w:r>
        <w:rPr>
          <w:b/>
          <w:bCs/>
          <w:sz w:val="26"/>
          <w:szCs w:val="26"/>
          <w:rtl/>
        </w:rPr>
        <w:t xml:space="preserve">." </w:t>
      </w:r>
    </w:p>
    <w:p w:rsidR="002427C9" w:rsidRDefault="002427C9">
      <w:pPr>
        <w:spacing w:line="360" w:lineRule="auto"/>
        <w:ind w:left="572"/>
        <w:jc w:val="both"/>
        <w:rPr>
          <w:sz w:val="26"/>
          <w:szCs w:val="26"/>
          <w:rtl/>
        </w:rPr>
      </w:pPr>
    </w:p>
    <w:p w:rsidR="002427C9" w:rsidRDefault="00A32BC0" w:rsidP="004023AE">
      <w:pPr>
        <w:spacing w:line="360" w:lineRule="auto"/>
        <w:ind w:left="572"/>
        <w:jc w:val="both"/>
        <w:rPr>
          <w:sz w:val="26"/>
          <w:szCs w:val="26"/>
          <w:rtl/>
        </w:rPr>
      </w:pPr>
      <w:r>
        <w:rPr>
          <w:sz w:val="26"/>
          <w:szCs w:val="26"/>
          <w:rtl/>
        </w:rPr>
        <w:t>(</w:t>
      </w:r>
      <w:hyperlink r:id="rId10" w:history="1">
        <w:r w:rsidRPr="00A32BC0">
          <w:rPr>
            <w:color w:val="0000FF"/>
            <w:sz w:val="26"/>
            <w:szCs w:val="26"/>
            <w:u w:val="single"/>
            <w:rtl/>
          </w:rPr>
          <w:t>בג"ץ 8171/09</w:t>
        </w:r>
      </w:hyperlink>
      <w:r>
        <w:rPr>
          <w:sz w:val="26"/>
          <w:szCs w:val="26"/>
          <w:rtl/>
        </w:rPr>
        <w:t xml:space="preserve"> </w:t>
      </w:r>
      <w:r>
        <w:rPr>
          <w:b/>
          <w:bCs/>
          <w:sz w:val="26"/>
          <w:szCs w:val="26"/>
          <w:rtl/>
        </w:rPr>
        <w:t>עבאס חסן יוסף יוסף, ראש מועצת הכפר אל ג'אניה נ' מועצת התכנון העליונה במינהל האזרחי</w:t>
      </w:r>
      <w:r>
        <w:rPr>
          <w:sz w:val="26"/>
          <w:szCs w:val="26"/>
          <w:rtl/>
        </w:rPr>
        <w:t xml:space="preserve"> (לא פורסם</w:t>
      </w:r>
      <w:r w:rsidR="004023AE">
        <w:rPr>
          <w:rFonts w:hint="cs"/>
          <w:sz w:val="26"/>
          <w:szCs w:val="26"/>
          <w:rtl/>
        </w:rPr>
        <w:t xml:space="preserve">, </w:t>
      </w:r>
      <w:r w:rsidR="004023AE" w:rsidRPr="004023AE">
        <w:rPr>
          <w:sz w:val="22"/>
          <w:rtl/>
        </w:rPr>
        <w:t>[פורסם בנבו]</w:t>
      </w:r>
      <w:r>
        <w:rPr>
          <w:sz w:val="26"/>
          <w:szCs w:val="26"/>
          <w:rtl/>
        </w:rPr>
        <w:t>, מיום 20.11.2011)),</w:t>
      </w:r>
    </w:p>
    <w:p w:rsidR="002427C9" w:rsidRDefault="002427C9">
      <w:pPr>
        <w:spacing w:line="360" w:lineRule="auto"/>
        <w:ind w:left="572"/>
        <w:jc w:val="both"/>
        <w:rPr>
          <w:sz w:val="26"/>
          <w:szCs w:val="26"/>
          <w:rtl/>
        </w:rPr>
      </w:pPr>
    </w:p>
    <w:p w:rsidR="002427C9" w:rsidRDefault="00A32BC0">
      <w:pPr>
        <w:spacing w:line="360" w:lineRule="auto"/>
        <w:ind w:left="572"/>
        <w:jc w:val="both"/>
        <w:rPr>
          <w:sz w:val="26"/>
          <w:szCs w:val="26"/>
          <w:rtl/>
        </w:rPr>
      </w:pPr>
      <w:r>
        <w:rPr>
          <w:sz w:val="26"/>
          <w:szCs w:val="26"/>
          <w:rtl/>
        </w:rPr>
        <w:t xml:space="preserve">עיקרון זה בא לידי ביטוי גם בהנחיית היועץ המשפטי לממשלה מס' </w:t>
      </w:r>
      <w:r>
        <w:rPr>
          <w:rtl/>
        </w:rPr>
        <w:t xml:space="preserve">8.1150 </w:t>
      </w:r>
      <w:r>
        <w:rPr>
          <w:sz w:val="26"/>
          <w:szCs w:val="26"/>
          <w:rtl/>
        </w:rPr>
        <w:t>מיום 24.1.2001:</w:t>
      </w:r>
    </w:p>
    <w:p w:rsidR="002427C9" w:rsidRDefault="002427C9">
      <w:pPr>
        <w:spacing w:line="360" w:lineRule="auto"/>
        <w:ind w:left="572"/>
        <w:jc w:val="both"/>
        <w:rPr>
          <w:sz w:val="14"/>
          <w:szCs w:val="14"/>
          <w:rtl/>
        </w:rPr>
      </w:pPr>
    </w:p>
    <w:p w:rsidR="002427C9" w:rsidRDefault="00A32BC0">
      <w:pPr>
        <w:tabs>
          <w:tab w:val="left" w:pos="386"/>
        </w:tabs>
        <w:spacing w:line="360" w:lineRule="auto"/>
        <w:ind w:left="1082" w:right="851"/>
        <w:jc w:val="both"/>
        <w:rPr>
          <w:b/>
          <w:bCs/>
          <w:sz w:val="26"/>
          <w:szCs w:val="26"/>
          <w:rtl/>
        </w:rPr>
      </w:pPr>
      <w:r>
        <w:rPr>
          <w:b/>
          <w:bCs/>
          <w:sz w:val="26"/>
          <w:szCs w:val="26"/>
          <w:rtl/>
        </w:rPr>
        <w:t xml:space="preserve">"אין זה מופרך, כי במסגרת מכלול השיקולים שרשאית ועדת התכנון לשקול לעניין הטיפול והאישור של תכנית המוגשת לה על-ידי מי שתלויים ועומדים נגדו הליכים פליליים, כאמור, רשאית היא להביא בגדר שיקוליה </w:t>
      </w:r>
      <w:r>
        <w:rPr>
          <w:b/>
          <w:bCs/>
          <w:sz w:val="26"/>
          <w:szCs w:val="26"/>
          <w:u w:val="single"/>
          <w:rtl/>
        </w:rPr>
        <w:t>גם את העובדה שמדובר בבקשה המיועדת להכשיר בדיעבד עבירות בניה</w:t>
      </w:r>
      <w:r>
        <w:rPr>
          <w:b/>
          <w:bCs/>
          <w:sz w:val="26"/>
          <w:szCs w:val="26"/>
          <w:rtl/>
        </w:rPr>
        <w:t xml:space="preserve">, וכן את השיקול של </w:t>
      </w:r>
      <w:r>
        <w:rPr>
          <w:b/>
          <w:bCs/>
          <w:sz w:val="26"/>
          <w:szCs w:val="26"/>
          <w:u w:val="single"/>
          <w:rtl/>
        </w:rPr>
        <w:t>מניעת עידוד עבריינות בניה</w:t>
      </w:r>
      <w:r>
        <w:rPr>
          <w:b/>
          <w:bCs/>
          <w:sz w:val="26"/>
          <w:szCs w:val="26"/>
          <w:rtl/>
        </w:rPr>
        <w:t xml:space="preserve">". </w:t>
      </w:r>
    </w:p>
    <w:p w:rsidR="002427C9" w:rsidRDefault="002427C9">
      <w:pPr>
        <w:spacing w:line="360" w:lineRule="auto"/>
        <w:ind w:left="572"/>
        <w:jc w:val="both"/>
        <w:rPr>
          <w:sz w:val="26"/>
          <w:szCs w:val="26"/>
          <w:rtl/>
        </w:rPr>
      </w:pPr>
    </w:p>
    <w:p w:rsidR="002427C9" w:rsidRDefault="00A32BC0" w:rsidP="004023AE">
      <w:pPr>
        <w:spacing w:line="360" w:lineRule="auto"/>
        <w:ind w:left="572"/>
        <w:jc w:val="both"/>
        <w:rPr>
          <w:sz w:val="26"/>
          <w:szCs w:val="26"/>
          <w:rtl/>
        </w:rPr>
      </w:pPr>
      <w:r>
        <w:rPr>
          <w:sz w:val="26"/>
          <w:szCs w:val="26"/>
          <w:rtl/>
        </w:rPr>
        <w:t xml:space="preserve">(ראו עוד: </w:t>
      </w:r>
      <w:hyperlink r:id="rId11" w:history="1">
        <w:r w:rsidRPr="00A32BC0">
          <w:rPr>
            <w:color w:val="0000FF"/>
            <w:sz w:val="26"/>
            <w:szCs w:val="26"/>
            <w:u w:val="single"/>
            <w:rtl/>
          </w:rPr>
          <w:t>עע"ם 9057/09</w:t>
        </w:r>
      </w:hyperlink>
      <w:r>
        <w:rPr>
          <w:sz w:val="26"/>
          <w:szCs w:val="26"/>
          <w:rtl/>
        </w:rPr>
        <w:t xml:space="preserve"> </w:t>
      </w:r>
      <w:r>
        <w:rPr>
          <w:b/>
          <w:bCs/>
          <w:sz w:val="26"/>
          <w:szCs w:val="26"/>
          <w:rtl/>
        </w:rPr>
        <w:t>דן אינגר ואח' נ' השמורה בע"מ ואח'</w:t>
      </w:r>
      <w:r>
        <w:rPr>
          <w:sz w:val="26"/>
          <w:szCs w:val="26"/>
          <w:rtl/>
        </w:rPr>
        <w:t xml:space="preserve"> (לא פורסם</w:t>
      </w:r>
      <w:r w:rsidR="004023AE">
        <w:rPr>
          <w:rFonts w:hint="cs"/>
          <w:sz w:val="26"/>
          <w:szCs w:val="26"/>
          <w:rtl/>
        </w:rPr>
        <w:t xml:space="preserve">, </w:t>
      </w:r>
      <w:r w:rsidR="004023AE" w:rsidRPr="004023AE">
        <w:rPr>
          <w:sz w:val="22"/>
          <w:rtl/>
        </w:rPr>
        <w:t>[פורסם בנבו]</w:t>
      </w:r>
      <w:r>
        <w:rPr>
          <w:sz w:val="26"/>
          <w:szCs w:val="26"/>
          <w:rtl/>
        </w:rPr>
        <w:t xml:space="preserve">, מיום 20.10.2010) סע' 27-31 לחוות דעתה של כב' השופטת מ. נאור, </w:t>
      </w:r>
      <w:hyperlink r:id="rId12" w:history="1">
        <w:r w:rsidRPr="004023AE">
          <w:rPr>
            <w:rStyle w:val="Hyperlink"/>
            <w:sz w:val="26"/>
            <w:szCs w:val="26"/>
            <w:rtl/>
          </w:rPr>
          <w:t>עת"מ (ת"א) 4145-11-11</w:t>
        </w:r>
      </w:hyperlink>
      <w:r>
        <w:rPr>
          <w:sz w:val="26"/>
          <w:szCs w:val="26"/>
          <w:rtl/>
        </w:rPr>
        <w:t xml:space="preserve"> </w:t>
      </w:r>
      <w:r>
        <w:rPr>
          <w:b/>
          <w:bCs/>
          <w:sz w:val="26"/>
          <w:szCs w:val="26"/>
          <w:rtl/>
        </w:rPr>
        <w:t>אלעד ישראל מגורים בע"מ נ' ועדת המשנה לעררים של המועצה הארצית לתכנון ‏ובניה</w:t>
      </w:r>
      <w:r>
        <w:rPr>
          <w:sz w:val="26"/>
          <w:szCs w:val="26"/>
          <w:rtl/>
        </w:rPr>
        <w:t xml:space="preserve"> (לא פורסם</w:t>
      </w:r>
      <w:r w:rsidR="004023AE">
        <w:rPr>
          <w:rFonts w:hint="cs"/>
          <w:sz w:val="26"/>
          <w:szCs w:val="26"/>
          <w:rtl/>
        </w:rPr>
        <w:t xml:space="preserve">, </w:t>
      </w:r>
      <w:r w:rsidR="004023AE" w:rsidRPr="004023AE">
        <w:rPr>
          <w:sz w:val="22"/>
          <w:rtl/>
        </w:rPr>
        <w:t>[פורסם בנבו]</w:t>
      </w:r>
      <w:r>
        <w:rPr>
          <w:sz w:val="26"/>
          <w:szCs w:val="26"/>
          <w:rtl/>
        </w:rPr>
        <w:t xml:space="preserve">, מיום 13.5.2013); ד"ר שמואל רויטל, עו"ד ואיל </w:t>
      </w:r>
      <w:r>
        <w:rPr>
          <w:rFonts w:hint="cs"/>
          <w:sz w:val="26"/>
          <w:szCs w:val="26"/>
          <w:rtl/>
        </w:rPr>
        <w:t xml:space="preserve">    </w:t>
      </w:r>
      <w:r>
        <w:rPr>
          <w:sz w:val="26"/>
          <w:szCs w:val="26"/>
          <w:rtl/>
        </w:rPr>
        <w:t xml:space="preserve">ד. מאמו, עו"ד, </w:t>
      </w:r>
      <w:r>
        <w:rPr>
          <w:b/>
          <w:bCs/>
          <w:sz w:val="26"/>
          <w:szCs w:val="26"/>
          <w:rtl/>
        </w:rPr>
        <w:t>דיני התכנון והבניה</w:t>
      </w:r>
      <w:r>
        <w:rPr>
          <w:sz w:val="26"/>
          <w:szCs w:val="26"/>
          <w:rtl/>
        </w:rPr>
        <w:t xml:space="preserve"> (ת"א – 2012), כרך ראשון, עמ' 104א </w:t>
      </w:r>
      <w:r>
        <w:rPr>
          <w:rFonts w:hint="cs"/>
          <w:sz w:val="26"/>
          <w:szCs w:val="26"/>
          <w:rtl/>
        </w:rPr>
        <w:t xml:space="preserve">             </w:t>
      </w:r>
      <w:r>
        <w:rPr>
          <w:sz w:val="26"/>
          <w:szCs w:val="26"/>
          <w:rtl/>
        </w:rPr>
        <w:t>(להלן: "</w:t>
      </w:r>
      <w:r>
        <w:rPr>
          <w:b/>
          <w:bCs/>
          <w:sz w:val="26"/>
          <w:szCs w:val="26"/>
          <w:rtl/>
        </w:rPr>
        <w:t>רויטל</w:t>
      </w:r>
      <w:r>
        <w:rPr>
          <w:sz w:val="26"/>
          <w:szCs w:val="26"/>
          <w:rtl/>
        </w:rPr>
        <w:t xml:space="preserve">")). </w:t>
      </w:r>
    </w:p>
    <w:p w:rsidR="002427C9" w:rsidRDefault="002427C9">
      <w:pPr>
        <w:spacing w:line="360" w:lineRule="auto"/>
        <w:ind w:left="572"/>
        <w:jc w:val="both"/>
        <w:rPr>
          <w:sz w:val="26"/>
          <w:szCs w:val="26"/>
          <w:rtl/>
        </w:rPr>
      </w:pPr>
    </w:p>
    <w:p w:rsidR="002427C9" w:rsidRDefault="00A32BC0">
      <w:pPr>
        <w:spacing w:line="360" w:lineRule="auto"/>
        <w:ind w:left="572"/>
        <w:jc w:val="both"/>
        <w:rPr>
          <w:sz w:val="26"/>
          <w:szCs w:val="26"/>
          <w:rtl/>
        </w:rPr>
      </w:pPr>
      <w:r>
        <w:rPr>
          <w:sz w:val="26"/>
          <w:szCs w:val="26"/>
          <w:rtl/>
        </w:rPr>
        <w:t xml:space="preserve">ראוי לציין בהקשר זה כי ביוני 2002 הורשעה העותרת ואחד מבעליה בעבירות פליליות של כרייה שלא כחוק והפרת צו הפסקה שיפוטי (נספח ב' לתגובת הוועדה לעתירה). </w:t>
      </w:r>
      <w:r>
        <w:rPr>
          <w:sz w:val="26"/>
          <w:szCs w:val="26"/>
          <w:rtl/>
        </w:rPr>
        <w:lastRenderedPageBreak/>
        <w:t>עובדה זו מחזקת אף היא את סבירות החלטתה של הוועדה, שלנגד עיניה עמד גם שיקול זה.</w:t>
      </w:r>
    </w:p>
    <w:p w:rsidR="002427C9" w:rsidRDefault="002427C9">
      <w:pPr>
        <w:spacing w:line="360" w:lineRule="auto"/>
        <w:ind w:left="572"/>
        <w:jc w:val="both"/>
        <w:rPr>
          <w:sz w:val="26"/>
          <w:szCs w:val="26"/>
          <w:rtl/>
        </w:rPr>
      </w:pPr>
    </w:p>
    <w:p w:rsidR="002427C9" w:rsidRDefault="00A32BC0">
      <w:pPr>
        <w:spacing w:line="360" w:lineRule="auto"/>
        <w:ind w:left="572"/>
        <w:jc w:val="both"/>
        <w:rPr>
          <w:sz w:val="26"/>
          <w:szCs w:val="26"/>
          <w:rtl/>
        </w:rPr>
      </w:pPr>
      <w:r>
        <w:rPr>
          <w:sz w:val="26"/>
          <w:szCs w:val="26"/>
          <w:rtl/>
        </w:rPr>
        <w:t>כאשר זה הדין לגבי לגליזציה של בנייה בלתי חוקית, קל וחומר במקרה דנן, בו לא זו בלבד שהמדובר בלגליזציה של עבירות בנייה, אלא שהעותרת אף פעלה בקרקע של שכן ללא היתר וכיום מבקשת לכפות עליו תכנית שעלולה לפגוע בזכות הקניין שלו.</w:t>
      </w:r>
    </w:p>
    <w:p w:rsidR="002427C9" w:rsidRDefault="002427C9">
      <w:pPr>
        <w:spacing w:line="360" w:lineRule="auto"/>
        <w:ind w:left="572"/>
        <w:jc w:val="both"/>
        <w:rPr>
          <w:b/>
          <w:bCs/>
          <w:sz w:val="26"/>
          <w:szCs w:val="26"/>
          <w:rtl/>
        </w:rPr>
      </w:pPr>
    </w:p>
    <w:p w:rsidR="002427C9" w:rsidRDefault="00A32BC0">
      <w:pPr>
        <w:numPr>
          <w:ilvl w:val="0"/>
          <w:numId w:val="1"/>
        </w:numPr>
        <w:tabs>
          <w:tab w:val="clear" w:pos="720"/>
          <w:tab w:val="num" w:pos="572"/>
        </w:tabs>
        <w:spacing w:line="360" w:lineRule="auto"/>
        <w:ind w:left="572" w:hanging="540"/>
        <w:jc w:val="both"/>
        <w:rPr>
          <w:sz w:val="26"/>
          <w:szCs w:val="26"/>
        </w:rPr>
      </w:pPr>
      <w:r>
        <w:rPr>
          <w:sz w:val="26"/>
          <w:szCs w:val="26"/>
          <w:rtl/>
        </w:rPr>
        <w:t xml:space="preserve"> לא זו אף זו, סבירות החלטות הועדה לבטל את החלטת ההפקדה נלמדת אף מגוף החלטת ההפקדה עצמה, בה צויין (בתחתיתה) במפורש: </w:t>
      </w:r>
    </w:p>
    <w:p w:rsidR="002427C9" w:rsidRDefault="002427C9">
      <w:pPr>
        <w:spacing w:line="360" w:lineRule="auto"/>
        <w:ind w:left="572"/>
        <w:jc w:val="both"/>
        <w:rPr>
          <w:sz w:val="26"/>
          <w:szCs w:val="26"/>
          <w:rtl/>
        </w:rPr>
      </w:pPr>
    </w:p>
    <w:p w:rsidR="002427C9" w:rsidRDefault="00A32BC0">
      <w:pPr>
        <w:tabs>
          <w:tab w:val="left" w:pos="386"/>
        </w:tabs>
        <w:spacing w:line="360" w:lineRule="auto"/>
        <w:ind w:left="1082" w:right="851"/>
        <w:jc w:val="both"/>
        <w:rPr>
          <w:b/>
          <w:bCs/>
          <w:sz w:val="26"/>
          <w:szCs w:val="26"/>
          <w:rtl/>
        </w:rPr>
      </w:pPr>
      <w:r>
        <w:rPr>
          <w:b/>
          <w:bCs/>
          <w:sz w:val="26"/>
          <w:szCs w:val="26"/>
          <w:rtl/>
        </w:rPr>
        <w:t xml:space="preserve">"החלטה זו תהיה בטלה בתום שבעה חודשים מיום שנמסרה למגיש התוכנית עפ"י סע' 86ד' לחוק אם לא ימולאו התנאים הקבועים בה" </w:t>
      </w:r>
      <w:r>
        <w:rPr>
          <w:sz w:val="26"/>
          <w:szCs w:val="26"/>
          <w:rtl/>
        </w:rPr>
        <w:t>(נספח ז' לתגובת הוועדה לעתירה).</w:t>
      </w:r>
    </w:p>
    <w:p w:rsidR="002427C9" w:rsidRDefault="002427C9">
      <w:pPr>
        <w:spacing w:line="360" w:lineRule="auto"/>
        <w:ind w:left="572"/>
        <w:jc w:val="both"/>
        <w:rPr>
          <w:sz w:val="26"/>
          <w:szCs w:val="26"/>
          <w:rtl/>
        </w:rPr>
      </w:pPr>
    </w:p>
    <w:p w:rsidR="002427C9" w:rsidRDefault="00A32BC0">
      <w:pPr>
        <w:spacing w:line="360" w:lineRule="auto"/>
        <w:ind w:left="572"/>
        <w:jc w:val="both"/>
        <w:rPr>
          <w:sz w:val="26"/>
          <w:szCs w:val="26"/>
          <w:rtl/>
        </w:rPr>
      </w:pPr>
      <w:r>
        <w:rPr>
          <w:sz w:val="26"/>
          <w:szCs w:val="26"/>
          <w:rtl/>
        </w:rPr>
        <w:t>מאחר שהעותרת המשיכה לכרות מעבר לגבולות התוכנית שהופקדה, ובניגוד להיתרי הכרייה שניתנו לה, הרי שלמעשה היא הפרה בכך את תנאי ההפקדה של ההחלטה מפברואר 2005, אשר סעיף 7 שלה קובע:</w:t>
      </w:r>
    </w:p>
    <w:p w:rsidR="002427C9" w:rsidRDefault="002427C9">
      <w:pPr>
        <w:spacing w:line="360" w:lineRule="auto"/>
        <w:ind w:left="572"/>
        <w:jc w:val="both"/>
        <w:rPr>
          <w:sz w:val="14"/>
          <w:szCs w:val="14"/>
          <w:rtl/>
        </w:rPr>
      </w:pPr>
    </w:p>
    <w:p w:rsidR="002427C9" w:rsidRDefault="00A32BC0">
      <w:pPr>
        <w:tabs>
          <w:tab w:val="left" w:pos="386"/>
        </w:tabs>
        <w:spacing w:line="360" w:lineRule="auto"/>
        <w:ind w:left="1082" w:right="851"/>
        <w:jc w:val="both"/>
        <w:rPr>
          <w:sz w:val="26"/>
          <w:szCs w:val="26"/>
          <w:rtl/>
        </w:rPr>
      </w:pPr>
      <w:r>
        <w:rPr>
          <w:b/>
          <w:bCs/>
          <w:sz w:val="26"/>
          <w:szCs w:val="26"/>
          <w:rtl/>
        </w:rPr>
        <w:t xml:space="preserve">"תנאי לאישור התוכנית – מתן התחייבות משפטית להבטחת ביצוע השיקום בהתאם לתנאי התוכנית, על ידי מגיש התוכנית" </w:t>
      </w:r>
    </w:p>
    <w:p w:rsidR="002427C9" w:rsidRDefault="002427C9">
      <w:pPr>
        <w:tabs>
          <w:tab w:val="left" w:pos="386"/>
        </w:tabs>
        <w:spacing w:line="360" w:lineRule="auto"/>
        <w:ind w:left="1082" w:right="851"/>
        <w:jc w:val="both"/>
        <w:rPr>
          <w:sz w:val="26"/>
          <w:szCs w:val="26"/>
          <w:rtl/>
        </w:rPr>
      </w:pPr>
    </w:p>
    <w:p w:rsidR="002427C9" w:rsidRDefault="00A32BC0">
      <w:pPr>
        <w:spacing w:line="360" w:lineRule="auto"/>
        <w:ind w:left="572"/>
        <w:jc w:val="both"/>
        <w:rPr>
          <w:sz w:val="26"/>
          <w:szCs w:val="26"/>
          <w:rtl/>
        </w:rPr>
      </w:pPr>
      <w:r>
        <w:rPr>
          <w:sz w:val="26"/>
          <w:szCs w:val="26"/>
          <w:rtl/>
        </w:rPr>
        <w:t xml:space="preserve">המשך הכרייה שלא כדין שביצעה העותרת מעבר לגבולות התוכנית שהופקדה, </w:t>
      </w:r>
      <w:r>
        <w:rPr>
          <w:rFonts w:hint="cs"/>
          <w:sz w:val="26"/>
          <w:szCs w:val="26"/>
          <w:rtl/>
        </w:rPr>
        <w:t xml:space="preserve">          </w:t>
      </w:r>
      <w:r>
        <w:rPr>
          <w:sz w:val="26"/>
          <w:szCs w:val="26"/>
          <w:rtl/>
        </w:rPr>
        <w:t>הם למעשה הפרה בוטה של התנאי הנ"ל, שכן במצב השונה שנוצר בשטח, כבר לא ניתן להבטיח שביצוע השיקום יהיה "</w:t>
      </w:r>
      <w:r>
        <w:rPr>
          <w:b/>
          <w:bCs/>
          <w:sz w:val="26"/>
          <w:szCs w:val="26"/>
          <w:rtl/>
        </w:rPr>
        <w:t>בהתאם לתנאי התוכנית</w:t>
      </w:r>
      <w:r>
        <w:rPr>
          <w:sz w:val="26"/>
          <w:szCs w:val="26"/>
          <w:rtl/>
        </w:rPr>
        <w:t>" כלשון סע' 7 להחלטה הנ"ל, מאחר שהמצב בשטח כבר איננו תואם את תנאי התוכנית. לפיכך ביולי 2006, המועד בו ניתנה החלטת הוועדה מושא העתירה, שביטלה כאמור את החלטת ההפקדה מ– 2005, תוכנית ההפקדה כבר פקעה מעצמה זה מכבר, בשל אי עמידה בתנאים הקבועים בה.</w:t>
      </w:r>
    </w:p>
    <w:p w:rsidR="002427C9" w:rsidRDefault="002427C9">
      <w:pPr>
        <w:spacing w:line="360" w:lineRule="auto"/>
        <w:ind w:left="572"/>
        <w:jc w:val="both"/>
        <w:rPr>
          <w:sz w:val="26"/>
          <w:szCs w:val="26"/>
          <w:rtl/>
        </w:rPr>
      </w:pPr>
    </w:p>
    <w:p w:rsidR="002427C9" w:rsidRDefault="00A32BC0">
      <w:pPr>
        <w:spacing w:line="360" w:lineRule="auto"/>
        <w:ind w:left="572"/>
        <w:jc w:val="both"/>
        <w:rPr>
          <w:sz w:val="26"/>
          <w:szCs w:val="26"/>
          <w:rtl/>
        </w:rPr>
      </w:pPr>
      <w:r>
        <w:rPr>
          <w:sz w:val="26"/>
          <w:szCs w:val="26"/>
          <w:rtl/>
        </w:rPr>
        <w:t xml:space="preserve">עוד נקבע בפסיקה כי ועדות התכנון אינן כבולות להחלטות קודמות שלהן, </w:t>
      </w:r>
      <w:r>
        <w:rPr>
          <w:rFonts w:hint="cs"/>
          <w:sz w:val="26"/>
          <w:szCs w:val="26"/>
          <w:rtl/>
        </w:rPr>
        <w:t xml:space="preserve">                </w:t>
      </w:r>
      <w:r>
        <w:rPr>
          <w:sz w:val="26"/>
          <w:szCs w:val="26"/>
          <w:rtl/>
        </w:rPr>
        <w:t xml:space="preserve">והן רשאיות לשנות תוכניות קיימות תוך התחשבות באינטרס ההסתמכות של צדדים אחרים וניסיון להפחית את הפגיעה בהם. אי לכך, בנסיבות המקרה, החלטת הועדה המחוזית עומדת בדרישת הסבירות (ראו: </w:t>
      </w:r>
      <w:hyperlink r:id="rId13" w:history="1">
        <w:r w:rsidRPr="00A32BC0">
          <w:rPr>
            <w:color w:val="0000FF"/>
            <w:sz w:val="26"/>
            <w:szCs w:val="26"/>
            <w:u w:val="single"/>
            <w:rtl/>
          </w:rPr>
          <w:t>עת"מ 2218/08</w:t>
        </w:r>
      </w:hyperlink>
      <w:r>
        <w:rPr>
          <w:sz w:val="26"/>
          <w:szCs w:val="26"/>
          <w:rtl/>
        </w:rPr>
        <w:t xml:space="preserve"> </w:t>
      </w:r>
      <w:r>
        <w:rPr>
          <w:b/>
          <w:bCs/>
          <w:sz w:val="26"/>
          <w:szCs w:val="26"/>
          <w:rtl/>
        </w:rPr>
        <w:t>אליהו דורי ואח' נ' ועדה מחוזית לתכנון ולבניה ת"א ואח'</w:t>
      </w:r>
      <w:r>
        <w:rPr>
          <w:sz w:val="26"/>
          <w:szCs w:val="26"/>
          <w:rtl/>
        </w:rPr>
        <w:t xml:space="preserve"> (לא פורסם) </w:t>
      </w:r>
      <w:r w:rsidR="004023AE" w:rsidRPr="004023AE">
        <w:rPr>
          <w:sz w:val="22"/>
          <w:rtl/>
        </w:rPr>
        <w:t xml:space="preserve">[פורסם בנבו] </w:t>
      </w:r>
      <w:r>
        <w:rPr>
          <w:sz w:val="26"/>
          <w:szCs w:val="26"/>
          <w:rtl/>
        </w:rPr>
        <w:t xml:space="preserve">סע' 4 לפסה"ד; </w:t>
      </w:r>
      <w:r>
        <w:rPr>
          <w:b/>
          <w:bCs/>
          <w:sz w:val="26"/>
          <w:szCs w:val="26"/>
          <w:rtl/>
        </w:rPr>
        <w:t>רויטל</w:t>
      </w:r>
      <w:r>
        <w:rPr>
          <w:sz w:val="26"/>
          <w:szCs w:val="26"/>
          <w:rtl/>
        </w:rPr>
        <w:t xml:space="preserve">, כרך ראשון, </w:t>
      </w:r>
      <w:r>
        <w:rPr>
          <w:rFonts w:hint="cs"/>
          <w:sz w:val="26"/>
          <w:szCs w:val="26"/>
          <w:rtl/>
        </w:rPr>
        <w:t xml:space="preserve">     </w:t>
      </w:r>
      <w:r>
        <w:rPr>
          <w:sz w:val="26"/>
          <w:szCs w:val="26"/>
          <w:rtl/>
        </w:rPr>
        <w:t>עמ' 104).</w:t>
      </w:r>
    </w:p>
    <w:p w:rsidR="002427C9" w:rsidRDefault="002427C9">
      <w:pPr>
        <w:spacing w:line="360" w:lineRule="auto"/>
        <w:ind w:left="572"/>
        <w:jc w:val="both"/>
        <w:rPr>
          <w:sz w:val="26"/>
          <w:szCs w:val="26"/>
          <w:rtl/>
        </w:rPr>
      </w:pPr>
    </w:p>
    <w:p w:rsidR="002427C9" w:rsidRDefault="002427C9">
      <w:pPr>
        <w:spacing w:line="360" w:lineRule="auto"/>
        <w:ind w:left="572"/>
        <w:jc w:val="both"/>
        <w:rPr>
          <w:sz w:val="26"/>
          <w:szCs w:val="26"/>
          <w:rtl/>
        </w:rPr>
      </w:pPr>
    </w:p>
    <w:p w:rsidR="002427C9" w:rsidRDefault="002427C9">
      <w:pPr>
        <w:spacing w:line="360" w:lineRule="auto"/>
        <w:ind w:left="572"/>
        <w:jc w:val="both"/>
        <w:rPr>
          <w:sz w:val="26"/>
          <w:szCs w:val="26"/>
          <w:rtl/>
        </w:rPr>
      </w:pPr>
    </w:p>
    <w:p w:rsidR="002427C9" w:rsidRDefault="002427C9">
      <w:pPr>
        <w:spacing w:line="360" w:lineRule="auto"/>
        <w:ind w:left="572"/>
        <w:jc w:val="both"/>
        <w:rPr>
          <w:sz w:val="26"/>
          <w:szCs w:val="26"/>
          <w:rtl/>
        </w:rPr>
      </w:pPr>
    </w:p>
    <w:p w:rsidR="002427C9" w:rsidRDefault="00A32BC0">
      <w:pPr>
        <w:numPr>
          <w:ilvl w:val="0"/>
          <w:numId w:val="1"/>
        </w:numPr>
        <w:tabs>
          <w:tab w:val="clear" w:pos="720"/>
          <w:tab w:val="num" w:pos="572"/>
        </w:tabs>
        <w:spacing w:line="360" w:lineRule="auto"/>
        <w:ind w:left="572" w:hanging="540"/>
        <w:jc w:val="both"/>
        <w:rPr>
          <w:sz w:val="26"/>
          <w:szCs w:val="26"/>
          <w:rtl/>
        </w:rPr>
      </w:pPr>
      <w:r>
        <w:rPr>
          <w:sz w:val="26"/>
          <w:szCs w:val="26"/>
          <w:rtl/>
        </w:rPr>
        <w:t xml:space="preserve">ככלל, אין בימ"ש זה בא במקום רשות התכנון ולא שם שיקול דעתו במקום שיקול דעתה. לאור צבר הנסיבות שתוארו לעיל, ומשלא מצאתי כי החלטת הוועדה חרגה ממתחם הסבירות, ולפי כללי המשפט המנהלי אין מקום להתערבות ביהמ"ש בשיקולי הועדה. כך נקבע ב– </w:t>
      </w:r>
      <w:hyperlink r:id="rId14" w:history="1">
        <w:r w:rsidRPr="004023AE">
          <w:rPr>
            <w:rStyle w:val="Hyperlink"/>
            <w:sz w:val="26"/>
            <w:szCs w:val="26"/>
            <w:rtl/>
          </w:rPr>
          <w:t xml:space="preserve">בג"ץ 2324/91 </w:t>
        </w:r>
        <w:r w:rsidRPr="004023AE">
          <w:rPr>
            <w:rStyle w:val="Hyperlink"/>
            <w:b/>
            <w:bCs/>
            <w:sz w:val="26"/>
            <w:szCs w:val="26"/>
            <w:rtl/>
          </w:rPr>
          <w:t>התנועה למען איכות השלטון בישראל נ' המועצה הארצית לתכנון ולבנייה</w:t>
        </w:r>
        <w:r w:rsidRPr="004023AE">
          <w:rPr>
            <w:rStyle w:val="Hyperlink"/>
            <w:sz w:val="26"/>
            <w:szCs w:val="26"/>
            <w:rtl/>
          </w:rPr>
          <w:t>, פד"י מה</w:t>
        </w:r>
      </w:hyperlink>
      <w:r>
        <w:rPr>
          <w:sz w:val="26"/>
          <w:szCs w:val="26"/>
          <w:rtl/>
        </w:rPr>
        <w:t>(3) 678, 688:</w:t>
      </w:r>
    </w:p>
    <w:p w:rsidR="002427C9" w:rsidRDefault="002427C9">
      <w:pPr>
        <w:spacing w:line="360" w:lineRule="auto"/>
        <w:ind w:left="1134" w:right="851"/>
        <w:jc w:val="both"/>
        <w:rPr>
          <w:b/>
          <w:bCs/>
          <w:sz w:val="26"/>
          <w:szCs w:val="26"/>
          <w:rtl/>
        </w:rPr>
      </w:pPr>
    </w:p>
    <w:p w:rsidR="002427C9" w:rsidRDefault="00A32BC0">
      <w:pPr>
        <w:spacing w:line="360" w:lineRule="auto"/>
        <w:ind w:left="1134" w:right="851"/>
        <w:jc w:val="both"/>
        <w:rPr>
          <w:b/>
          <w:bCs/>
          <w:sz w:val="26"/>
          <w:szCs w:val="26"/>
          <w:rtl/>
        </w:rPr>
      </w:pPr>
      <w:r>
        <w:rPr>
          <w:b/>
          <w:bCs/>
          <w:sz w:val="26"/>
          <w:szCs w:val="26"/>
          <w:rtl/>
        </w:rPr>
        <w:t xml:space="preserve">"השאלה בה עליו להחליט היא לא מה היה מחליט בית המשפט, בנסיבות דומות, אלא אם החלטת המינהל עומדת בפני הביקורת, בהיותה החלטה שרשות מינהלית סבירה יכולה הייתה לקבל.אם ההחלטה עומדת במבחן הסבירות - במובן זה שהיא מהווה אחת ההחלטות הסבירות שניתן היה לקבל באותן נסיבות - לא יתערב בכך בית המשפט. </w:t>
      </w:r>
    </w:p>
    <w:p w:rsidR="002427C9" w:rsidRDefault="002427C9">
      <w:pPr>
        <w:tabs>
          <w:tab w:val="left" w:pos="288"/>
          <w:tab w:val="left" w:pos="720"/>
          <w:tab w:val="left" w:pos="1296"/>
        </w:tabs>
        <w:adjustRightInd w:val="0"/>
        <w:spacing w:after="80" w:line="360" w:lineRule="auto"/>
        <w:ind w:left="1134" w:right="851"/>
        <w:jc w:val="both"/>
        <w:rPr>
          <w:b/>
          <w:bCs/>
          <w:sz w:val="26"/>
          <w:szCs w:val="26"/>
          <w:rtl/>
        </w:rPr>
      </w:pPr>
    </w:p>
    <w:p w:rsidR="002427C9" w:rsidRDefault="00A32BC0">
      <w:pPr>
        <w:tabs>
          <w:tab w:val="left" w:pos="288"/>
          <w:tab w:val="left" w:pos="720"/>
          <w:tab w:val="left" w:pos="1296"/>
        </w:tabs>
        <w:adjustRightInd w:val="0"/>
        <w:spacing w:after="80" w:line="360" w:lineRule="auto"/>
        <w:ind w:left="1134" w:right="851"/>
        <w:jc w:val="both"/>
        <w:rPr>
          <w:b/>
          <w:bCs/>
          <w:color w:val="FFFFFF"/>
          <w:sz w:val="26"/>
          <w:szCs w:val="26"/>
          <w:rtl/>
        </w:rPr>
      </w:pPr>
      <w:r>
        <w:rPr>
          <w:b/>
          <w:bCs/>
          <w:sz w:val="26"/>
          <w:szCs w:val="26"/>
          <w:rtl/>
        </w:rPr>
        <w:t>וכדברי מ"מ הנשיא שמגר, כתוארו אז,ב</w:t>
      </w:r>
      <w:hyperlink r:id="rId15" w:history="1">
        <w:r w:rsidRPr="00A32BC0">
          <w:rPr>
            <w:b/>
            <w:bCs/>
            <w:color w:val="0000FF"/>
            <w:sz w:val="26"/>
            <w:szCs w:val="26"/>
            <w:u w:val="single"/>
            <w:rtl/>
          </w:rPr>
          <w:t>בג"צ 197/83</w:t>
        </w:r>
      </w:hyperlink>
      <w:r>
        <w:rPr>
          <w:b/>
          <w:bCs/>
          <w:sz w:val="26"/>
          <w:szCs w:val="26"/>
          <w:rtl/>
        </w:rPr>
        <w:t xml:space="preserve"> [3], בעמ' </w:t>
      </w:r>
      <w:r>
        <w:rPr>
          <w:b/>
          <w:bCs/>
          <w:sz w:val="26"/>
          <w:szCs w:val="26"/>
        </w:rPr>
        <w:t>391</w:t>
      </w:r>
      <w:r>
        <w:rPr>
          <w:b/>
          <w:bCs/>
          <w:sz w:val="26"/>
          <w:szCs w:val="26"/>
          <w:rtl/>
        </w:rPr>
        <w:t>-</w:t>
      </w:r>
      <w:r>
        <w:rPr>
          <w:b/>
          <w:bCs/>
          <w:sz w:val="26"/>
          <w:szCs w:val="26"/>
        </w:rPr>
        <w:t>392</w:t>
      </w:r>
      <w:r>
        <w:rPr>
          <w:b/>
          <w:bCs/>
          <w:sz w:val="26"/>
          <w:szCs w:val="26"/>
          <w:rtl/>
        </w:rPr>
        <w:t>:</w:t>
      </w:r>
      <w:r>
        <w:rPr>
          <w:b/>
          <w:bCs/>
          <w:color w:val="FFFFFF"/>
          <w:sz w:val="26"/>
          <w:szCs w:val="26"/>
          <w:rtl/>
        </w:rPr>
        <w:t>ב</w:t>
      </w:r>
    </w:p>
    <w:p w:rsidR="002427C9" w:rsidRDefault="002427C9">
      <w:pPr>
        <w:tabs>
          <w:tab w:val="left" w:pos="288"/>
          <w:tab w:val="left" w:pos="720"/>
          <w:tab w:val="left" w:pos="1296"/>
        </w:tabs>
        <w:adjustRightInd w:val="0"/>
        <w:spacing w:after="80" w:line="360" w:lineRule="auto"/>
        <w:ind w:left="1134" w:right="851"/>
        <w:jc w:val="both"/>
        <w:rPr>
          <w:b/>
          <w:bCs/>
          <w:sz w:val="26"/>
          <w:szCs w:val="26"/>
          <w:rtl/>
          <w:lang w:eastAsia="he-IL"/>
        </w:rPr>
      </w:pPr>
    </w:p>
    <w:p w:rsidR="002427C9" w:rsidRDefault="00A32BC0">
      <w:pPr>
        <w:tabs>
          <w:tab w:val="left" w:pos="288"/>
          <w:tab w:val="left" w:pos="720"/>
          <w:tab w:val="left" w:pos="1296"/>
        </w:tabs>
        <w:adjustRightInd w:val="0"/>
        <w:spacing w:after="80" w:line="360" w:lineRule="auto"/>
        <w:ind w:left="1134" w:right="851"/>
        <w:jc w:val="both"/>
        <w:rPr>
          <w:b/>
          <w:bCs/>
          <w:sz w:val="26"/>
          <w:szCs w:val="26"/>
          <w:rtl/>
          <w:lang w:eastAsia="he-IL"/>
        </w:rPr>
      </w:pPr>
      <w:r>
        <w:rPr>
          <w:b/>
          <w:bCs/>
          <w:sz w:val="26"/>
          <w:szCs w:val="26"/>
        </w:rPr>
        <w:t xml:space="preserve">"... </w:t>
      </w:r>
      <w:r>
        <w:rPr>
          <w:b/>
          <w:bCs/>
          <w:sz w:val="26"/>
          <w:szCs w:val="26"/>
          <w:rtl/>
        </w:rPr>
        <w:t>לגבי הפעלת סמכויות שלטוניות על-פי דין, יכולים להיות מספר</w:t>
      </w:r>
      <w:r>
        <w:rPr>
          <w:b/>
          <w:bCs/>
          <w:sz w:val="26"/>
          <w:szCs w:val="26"/>
        </w:rPr>
        <w:t xml:space="preserve"> </w:t>
      </w:r>
      <w:r>
        <w:rPr>
          <w:b/>
          <w:bCs/>
          <w:sz w:val="26"/>
          <w:szCs w:val="26"/>
          <w:rtl/>
        </w:rPr>
        <w:t xml:space="preserve">פתרונות אפשריים, ואין בית המשפט נוטה להתערב אך ורק בשל כך שהפתרון שנקבע איננו הטוב ביותר, לדעתו, אשר אליו ניתן היה להגיע בנסיבות העניין. כאשר ישנו מירווח של אפשרויות, אשר בתוכו קיימות מספר אפשרויות חלופיות שכולן סבירות במידה זו או אחרת, </w:t>
      </w:r>
      <w:r>
        <w:rPr>
          <w:b/>
          <w:bCs/>
          <w:sz w:val="26"/>
          <w:szCs w:val="26"/>
          <w:u w:val="single"/>
          <w:rtl/>
        </w:rPr>
        <w:t>יתערב בית המשפט אך ורק אם הדרך, אשר בה בחרה הרשות, חורגת לחלוטין מתחום הסביר</w:t>
      </w:r>
      <w:r>
        <w:rPr>
          <w:b/>
          <w:bCs/>
          <w:sz w:val="26"/>
          <w:szCs w:val="26"/>
          <w:rtl/>
        </w:rPr>
        <w:t>.</w:t>
      </w:r>
      <w:r>
        <w:rPr>
          <w:rFonts w:hint="cs"/>
          <w:b/>
          <w:bCs/>
          <w:sz w:val="26"/>
          <w:szCs w:val="26"/>
          <w:rtl/>
        </w:rPr>
        <w:t xml:space="preserve"> </w:t>
      </w:r>
      <w:r>
        <w:rPr>
          <w:b/>
          <w:bCs/>
          <w:sz w:val="26"/>
          <w:szCs w:val="26"/>
          <w:rtl/>
        </w:rPr>
        <w:t xml:space="preserve">"מבחן זה להתערבות בית-משפט זה בהחלטות המינהל כוחו </w:t>
      </w:r>
      <w:r>
        <w:rPr>
          <w:b/>
          <w:bCs/>
          <w:sz w:val="26"/>
          <w:szCs w:val="26"/>
          <w:u w:val="single"/>
          <w:rtl/>
        </w:rPr>
        <w:t>יפה גם להתערבות בהחלטות של רשויות התכנון</w:t>
      </w:r>
      <w:r>
        <w:rPr>
          <w:b/>
          <w:bCs/>
          <w:sz w:val="26"/>
          <w:szCs w:val="26"/>
          <w:rtl/>
        </w:rPr>
        <w:t xml:space="preserve"> (ראה</w:t>
      </w:r>
      <w:r>
        <w:rPr>
          <w:b/>
          <w:bCs/>
          <w:sz w:val="26"/>
          <w:szCs w:val="26"/>
        </w:rPr>
        <w:t xml:space="preserve"> </w:t>
      </w:r>
      <w:hyperlink r:id="rId16" w:history="1">
        <w:r w:rsidRPr="00A32BC0">
          <w:rPr>
            <w:b/>
            <w:bCs/>
            <w:color w:val="0000FF"/>
            <w:sz w:val="26"/>
            <w:szCs w:val="26"/>
            <w:u w:val="single"/>
            <w:rtl/>
          </w:rPr>
          <w:t>בג"צ 389/87</w:t>
        </w:r>
      </w:hyperlink>
      <w:r>
        <w:rPr>
          <w:b/>
          <w:bCs/>
          <w:sz w:val="26"/>
          <w:szCs w:val="26"/>
          <w:rtl/>
        </w:rPr>
        <w:t>,</w:t>
      </w:r>
      <w:hyperlink r:id="rId17" w:history="1">
        <w:r w:rsidRPr="00A32BC0">
          <w:rPr>
            <w:b/>
            <w:bCs/>
            <w:color w:val="0000FF"/>
            <w:sz w:val="26"/>
            <w:szCs w:val="26"/>
            <w:u w:val="single"/>
            <w:rtl/>
          </w:rPr>
          <w:t>בשג"צ 192/86</w:t>
        </w:r>
      </w:hyperlink>
      <w:r>
        <w:rPr>
          <w:b/>
          <w:bCs/>
          <w:sz w:val="26"/>
          <w:szCs w:val="26"/>
          <w:rtl/>
        </w:rPr>
        <w:t xml:space="preserve"> [4], בעמ' </w:t>
      </w:r>
      <w:r>
        <w:rPr>
          <w:b/>
          <w:bCs/>
          <w:sz w:val="26"/>
          <w:szCs w:val="26"/>
        </w:rPr>
        <w:t>36</w:t>
      </w:r>
      <w:r>
        <w:rPr>
          <w:b/>
          <w:bCs/>
          <w:sz w:val="26"/>
          <w:szCs w:val="26"/>
          <w:rtl/>
        </w:rPr>
        <w:t>)</w:t>
      </w:r>
      <w:r>
        <w:rPr>
          <w:b/>
          <w:bCs/>
          <w:sz w:val="26"/>
          <w:szCs w:val="26"/>
          <w:rtl/>
          <w:lang w:eastAsia="he-IL"/>
        </w:rPr>
        <w:t>"</w:t>
      </w:r>
    </w:p>
    <w:p w:rsidR="002427C9" w:rsidRDefault="002427C9">
      <w:pPr>
        <w:spacing w:line="480" w:lineRule="auto"/>
        <w:ind w:left="720"/>
        <w:jc w:val="both"/>
      </w:pPr>
    </w:p>
    <w:p w:rsidR="002427C9" w:rsidRDefault="00A32BC0">
      <w:pPr>
        <w:spacing w:line="360" w:lineRule="auto"/>
        <w:ind w:left="572"/>
        <w:jc w:val="both"/>
        <w:rPr>
          <w:sz w:val="26"/>
          <w:szCs w:val="26"/>
          <w:rtl/>
        </w:rPr>
      </w:pPr>
      <w:r>
        <w:rPr>
          <w:sz w:val="26"/>
          <w:szCs w:val="26"/>
          <w:rtl/>
        </w:rPr>
        <w:t xml:space="preserve">ראו עוד: </w:t>
      </w:r>
      <w:hyperlink r:id="rId18" w:history="1">
        <w:r w:rsidRPr="00A32BC0">
          <w:rPr>
            <w:color w:val="0000FF"/>
            <w:sz w:val="26"/>
            <w:szCs w:val="26"/>
            <w:u w:val="single"/>
            <w:rtl/>
          </w:rPr>
          <w:t>בג"ץ 2920/94 אדם טבע ודין נ' המועצה הארצית לתכנון ולבנייה,              פ"ד נ</w:t>
        </w:r>
      </w:hyperlink>
      <w:r>
        <w:rPr>
          <w:sz w:val="26"/>
          <w:szCs w:val="26"/>
          <w:rtl/>
        </w:rPr>
        <w:t xml:space="preserve">(3) 441, 469-468 (1996); </w:t>
      </w:r>
      <w:hyperlink r:id="rId19" w:history="1">
        <w:r w:rsidRPr="00A32BC0">
          <w:rPr>
            <w:color w:val="0000FF"/>
            <w:sz w:val="26"/>
            <w:szCs w:val="26"/>
            <w:u w:val="single"/>
            <w:rtl/>
          </w:rPr>
          <w:t>בג"ץ 4776/03</w:t>
        </w:r>
      </w:hyperlink>
      <w:r>
        <w:rPr>
          <w:sz w:val="26"/>
          <w:szCs w:val="26"/>
          <w:rtl/>
        </w:rPr>
        <w:t xml:space="preserve"> </w:t>
      </w:r>
      <w:r>
        <w:rPr>
          <w:b/>
          <w:bCs/>
          <w:sz w:val="26"/>
          <w:szCs w:val="26"/>
          <w:rtl/>
        </w:rPr>
        <w:t xml:space="preserve">מלון רג'נסי ירושלים בע"מ נ' </w:t>
      </w:r>
      <w:r>
        <w:rPr>
          <w:rFonts w:hint="cs"/>
          <w:b/>
          <w:bCs/>
          <w:sz w:val="26"/>
          <w:szCs w:val="26"/>
          <w:rtl/>
        </w:rPr>
        <w:t xml:space="preserve">             </w:t>
      </w:r>
      <w:r>
        <w:rPr>
          <w:b/>
          <w:bCs/>
          <w:sz w:val="26"/>
          <w:szCs w:val="26"/>
          <w:rtl/>
        </w:rPr>
        <w:lastRenderedPageBreak/>
        <w:t>שר הפנים</w:t>
      </w:r>
      <w:r>
        <w:rPr>
          <w:sz w:val="26"/>
          <w:szCs w:val="26"/>
          <w:rtl/>
        </w:rPr>
        <w:t xml:space="preserve"> </w:t>
      </w:r>
      <w:r w:rsidR="004023AE" w:rsidRPr="004023AE">
        <w:rPr>
          <w:sz w:val="22"/>
          <w:rtl/>
        </w:rPr>
        <w:t xml:space="preserve">[פורסם בנבו] </w:t>
      </w:r>
      <w:r>
        <w:rPr>
          <w:sz w:val="26"/>
          <w:szCs w:val="26"/>
          <w:rtl/>
        </w:rPr>
        <w:t xml:space="preserve">(9.5.2005); </w:t>
      </w:r>
      <w:hyperlink r:id="rId20" w:history="1">
        <w:r w:rsidRPr="00A32BC0">
          <w:rPr>
            <w:color w:val="0000FF"/>
            <w:sz w:val="26"/>
            <w:szCs w:val="26"/>
            <w:u w:val="single"/>
            <w:rtl/>
          </w:rPr>
          <w:t>עע"ם 2418/05</w:t>
        </w:r>
      </w:hyperlink>
      <w:r>
        <w:rPr>
          <w:sz w:val="26"/>
          <w:szCs w:val="26"/>
          <w:rtl/>
        </w:rPr>
        <w:t xml:space="preserve"> </w:t>
      </w:r>
      <w:r>
        <w:rPr>
          <w:b/>
          <w:bCs/>
          <w:sz w:val="26"/>
          <w:szCs w:val="26"/>
          <w:rtl/>
        </w:rPr>
        <w:t xml:space="preserve">מילגרום נ' הועדה המקומית לתכנון ולבניה ואח' </w:t>
      </w:r>
      <w:r w:rsidR="004023AE" w:rsidRPr="004023AE">
        <w:rPr>
          <w:sz w:val="22"/>
          <w:rtl/>
        </w:rPr>
        <w:t xml:space="preserve">[פורסם בנבו] </w:t>
      </w:r>
      <w:r>
        <w:rPr>
          <w:sz w:val="26"/>
          <w:szCs w:val="26"/>
          <w:rtl/>
        </w:rPr>
        <w:t xml:space="preserve">(24.11.2005). </w:t>
      </w:r>
    </w:p>
    <w:p w:rsidR="002427C9" w:rsidRDefault="002427C9">
      <w:pPr>
        <w:spacing w:line="360" w:lineRule="auto"/>
        <w:ind w:left="32" w:firstLine="535"/>
        <w:jc w:val="both"/>
        <w:rPr>
          <w:b/>
          <w:bCs/>
          <w:sz w:val="28"/>
          <w:szCs w:val="28"/>
          <w:u w:val="single"/>
          <w:rtl/>
        </w:rPr>
      </w:pPr>
    </w:p>
    <w:p w:rsidR="002427C9" w:rsidRDefault="00A32BC0">
      <w:pPr>
        <w:spacing w:line="360" w:lineRule="auto"/>
        <w:ind w:left="32" w:firstLine="535"/>
        <w:jc w:val="both"/>
        <w:rPr>
          <w:b/>
          <w:bCs/>
          <w:sz w:val="28"/>
          <w:szCs w:val="28"/>
          <w:u w:val="single"/>
          <w:rtl/>
        </w:rPr>
      </w:pPr>
      <w:r>
        <w:rPr>
          <w:b/>
          <w:bCs/>
          <w:sz w:val="28"/>
          <w:szCs w:val="28"/>
          <w:u w:val="single"/>
          <w:rtl/>
        </w:rPr>
        <w:t>סיכום</w:t>
      </w:r>
    </w:p>
    <w:p w:rsidR="002427C9" w:rsidRDefault="002427C9">
      <w:pPr>
        <w:spacing w:line="360" w:lineRule="auto"/>
        <w:ind w:left="32" w:firstLine="535"/>
        <w:jc w:val="both"/>
        <w:rPr>
          <w:b/>
          <w:bCs/>
          <w:sz w:val="26"/>
          <w:szCs w:val="26"/>
          <w:u w:val="single"/>
        </w:rPr>
      </w:pPr>
    </w:p>
    <w:p w:rsidR="002427C9" w:rsidRDefault="00A32BC0">
      <w:pPr>
        <w:numPr>
          <w:ilvl w:val="0"/>
          <w:numId w:val="1"/>
        </w:numPr>
        <w:tabs>
          <w:tab w:val="clear" w:pos="720"/>
          <w:tab w:val="num" w:pos="572"/>
        </w:tabs>
        <w:spacing w:line="360" w:lineRule="auto"/>
        <w:ind w:left="572" w:hanging="540"/>
        <w:jc w:val="both"/>
        <w:rPr>
          <w:szCs w:val="26"/>
        </w:rPr>
      </w:pPr>
      <w:r>
        <w:rPr>
          <w:szCs w:val="26"/>
          <w:rtl/>
        </w:rPr>
        <w:t>לאור כל האמור לעיל, במצטבר,  אני דוחה את העתירה.</w:t>
      </w:r>
    </w:p>
    <w:p w:rsidR="002427C9" w:rsidRDefault="002427C9">
      <w:pPr>
        <w:spacing w:line="360" w:lineRule="auto"/>
        <w:ind w:left="32"/>
        <w:jc w:val="both"/>
        <w:rPr>
          <w:szCs w:val="26"/>
          <w:rtl/>
        </w:rPr>
      </w:pPr>
    </w:p>
    <w:p w:rsidR="002427C9" w:rsidRDefault="00A32BC0">
      <w:pPr>
        <w:spacing w:line="360" w:lineRule="auto"/>
        <w:ind w:left="567" w:firstLine="5"/>
        <w:jc w:val="both"/>
        <w:rPr>
          <w:szCs w:val="26"/>
          <w:rtl/>
        </w:rPr>
      </w:pPr>
      <w:r>
        <w:rPr>
          <w:szCs w:val="26"/>
          <w:rtl/>
        </w:rPr>
        <w:t>העותרת תישא בהוצאות המשיבה בסך 40,000 ₪, בהתאם לתקנה 512 ל</w:t>
      </w:r>
      <w:hyperlink r:id="rId21" w:history="1">
        <w:r w:rsidRPr="00A32BC0">
          <w:rPr>
            <w:b/>
            <w:bCs/>
            <w:color w:val="0000FF"/>
            <w:szCs w:val="26"/>
            <w:u w:val="single"/>
            <w:rtl/>
          </w:rPr>
          <w:t>תקנות סדר הדין האזרחי</w:t>
        </w:r>
      </w:hyperlink>
      <w:r>
        <w:rPr>
          <w:b/>
          <w:bCs/>
          <w:szCs w:val="26"/>
          <w:rtl/>
        </w:rPr>
        <w:t>, התשמ"ד – 1984</w:t>
      </w:r>
      <w:r>
        <w:rPr>
          <w:szCs w:val="26"/>
          <w:rtl/>
        </w:rPr>
        <w:t xml:space="preserve">. </w:t>
      </w:r>
    </w:p>
    <w:p w:rsidR="002427C9" w:rsidRDefault="00A32BC0">
      <w:pPr>
        <w:jc w:val="both"/>
        <w:rPr>
          <w:rFonts w:ascii="Arial" w:hAnsi="Arial"/>
          <w:noProof w:val="0"/>
          <w:rtl/>
        </w:rPr>
      </w:pPr>
      <w:r>
        <w:rPr>
          <w:rStyle w:val="default"/>
          <w:rFonts w:cs="FrankRuehl"/>
          <w:sz w:val="20"/>
          <w:szCs w:val="26"/>
          <w:rtl/>
        </w:rPr>
        <w:tab/>
      </w:r>
    </w:p>
    <w:p w:rsidR="002427C9" w:rsidRDefault="00A32BC0">
      <w:pPr>
        <w:spacing w:line="360" w:lineRule="auto"/>
        <w:jc w:val="both"/>
        <w:rPr>
          <w:rFonts w:ascii="Arial" w:hAnsi="Arial"/>
          <w:noProof w:val="0"/>
          <w:rtl/>
        </w:rPr>
      </w:pPr>
      <w:r>
        <w:rPr>
          <w:rFonts w:ascii="Arial" w:hAnsi="Arial"/>
          <w:noProof w:val="0"/>
          <w:sz w:val="26"/>
          <w:szCs w:val="26"/>
          <w:rtl/>
        </w:rPr>
        <w:t xml:space="preserve">ניתן היום,  כ"א סיון תשע"ג, 30 מאי 2013, בהעדר הצדדים. </w:t>
      </w:r>
    </w:p>
    <w:p w:rsidR="002427C9" w:rsidRDefault="00A32BC0">
      <w:pPr>
        <w:spacing w:line="360" w:lineRule="auto"/>
        <w:ind w:left="32" w:firstLine="535"/>
        <w:jc w:val="both"/>
        <w:rPr>
          <w:szCs w:val="26"/>
          <w:rtl/>
        </w:rPr>
      </w:pPr>
      <w:r>
        <w:rPr>
          <w:szCs w:val="26"/>
          <w:rtl/>
        </w:rPr>
        <w:t>המזכירות תמציא עותק פסק הדין לצדדים.</w:t>
      </w:r>
    </w:p>
    <w:p w:rsidR="002427C9" w:rsidRDefault="002427C9">
      <w:pPr>
        <w:spacing w:line="360" w:lineRule="auto"/>
        <w:jc w:val="both"/>
        <w:rPr>
          <w:rFonts w:ascii="Arial" w:hAnsi="Arial"/>
          <w:noProof w:val="0"/>
          <w:rtl/>
        </w:rPr>
      </w:pPr>
    </w:p>
    <w:p w:rsidR="002427C9" w:rsidRDefault="002427C9">
      <w:pPr>
        <w:spacing w:line="360" w:lineRule="auto"/>
        <w:jc w:val="both"/>
        <w:rPr>
          <w:rFonts w:ascii="Arial" w:hAnsi="Arial"/>
          <w:noProof w:val="0"/>
          <w:rtl/>
        </w:rPr>
      </w:pPr>
    </w:p>
    <w:p w:rsidR="002427C9" w:rsidRDefault="002427C9">
      <w:pPr>
        <w:spacing w:line="360" w:lineRule="auto"/>
        <w:ind w:left="3600" w:firstLine="720"/>
        <w:jc w:val="center"/>
      </w:pPr>
    </w:p>
    <w:p w:rsidR="002427C9" w:rsidRPr="00A32BC0" w:rsidRDefault="00A32BC0">
      <w:pPr>
        <w:spacing w:line="360" w:lineRule="auto"/>
        <w:ind w:left="3600" w:firstLine="720"/>
        <w:jc w:val="center"/>
        <w:rPr>
          <w:rFonts w:ascii="Arial" w:hAnsi="Arial"/>
          <w:noProof w:val="0"/>
          <w:color w:val="FFFFFF"/>
          <w:sz w:val="2"/>
          <w:szCs w:val="2"/>
          <w:rtl/>
        </w:rPr>
      </w:pPr>
      <w:r w:rsidRPr="00A32BC0">
        <w:rPr>
          <w:rFonts w:ascii="Arial" w:hAnsi="Arial"/>
          <w:noProof w:val="0"/>
          <w:color w:val="FFFFFF"/>
          <w:sz w:val="2"/>
          <w:szCs w:val="2"/>
          <w:rtl/>
        </w:rPr>
        <w:t>5129371</w:t>
      </w:r>
    </w:p>
    <w:p w:rsidR="002427C9" w:rsidRPr="00A32BC0" w:rsidRDefault="00A32BC0">
      <w:pPr>
        <w:spacing w:line="360" w:lineRule="auto"/>
        <w:jc w:val="both"/>
        <w:rPr>
          <w:rFonts w:ascii="Arial" w:hAnsi="Arial"/>
          <w:noProof w:val="0"/>
          <w:color w:val="FFFFFF"/>
          <w:sz w:val="2"/>
          <w:szCs w:val="2"/>
          <w:rtl/>
        </w:rPr>
      </w:pPr>
      <w:r w:rsidRPr="00A32BC0">
        <w:rPr>
          <w:rFonts w:ascii="Arial" w:hAnsi="Arial"/>
          <w:noProof w:val="0"/>
          <w:color w:val="FFFFFF"/>
          <w:sz w:val="2"/>
          <w:szCs w:val="2"/>
          <w:rtl/>
        </w:rPr>
        <w:t>54678313</w:t>
      </w:r>
    </w:p>
    <w:p w:rsidR="00A32BC0" w:rsidRPr="00A32BC0" w:rsidRDefault="00A32BC0" w:rsidP="00A32BC0">
      <w:pPr>
        <w:keepNext/>
        <w:spacing w:line="360" w:lineRule="auto"/>
        <w:rPr>
          <w:rFonts w:ascii="David" w:hAnsi="David"/>
          <w:noProof w:val="0"/>
          <w:color w:val="000000"/>
          <w:sz w:val="22"/>
          <w:szCs w:val="22"/>
          <w:rtl/>
        </w:rPr>
      </w:pPr>
    </w:p>
    <w:p w:rsidR="00A32BC0" w:rsidRPr="00A32BC0" w:rsidRDefault="00A32BC0" w:rsidP="00A32BC0">
      <w:pPr>
        <w:keepNext/>
        <w:spacing w:line="360" w:lineRule="auto"/>
        <w:rPr>
          <w:rFonts w:ascii="David" w:hAnsi="David"/>
          <w:noProof w:val="0"/>
          <w:color w:val="000000"/>
          <w:sz w:val="22"/>
          <w:szCs w:val="22"/>
          <w:rtl/>
        </w:rPr>
      </w:pPr>
      <w:r w:rsidRPr="00A32BC0">
        <w:rPr>
          <w:rFonts w:ascii="David" w:hAnsi="David"/>
          <w:noProof w:val="0"/>
          <w:color w:val="000000"/>
          <w:sz w:val="22"/>
          <w:szCs w:val="22"/>
          <w:rtl/>
        </w:rPr>
        <w:t>יהודית שיצר 54678313</w:t>
      </w:r>
    </w:p>
    <w:p w:rsidR="00A32BC0" w:rsidRDefault="00A32BC0" w:rsidP="00A32BC0">
      <w:r w:rsidRPr="00A32BC0">
        <w:rPr>
          <w:color w:val="000000"/>
          <w:rtl/>
        </w:rPr>
        <w:t>נוסח מסמך זה כפוף לשינויי ניסוח ועריכה</w:t>
      </w:r>
    </w:p>
    <w:p w:rsidR="00A32BC0" w:rsidRDefault="00A32BC0" w:rsidP="00A32BC0">
      <w:pPr>
        <w:rPr>
          <w:rtl/>
        </w:rPr>
      </w:pPr>
    </w:p>
    <w:p w:rsidR="00A32BC0" w:rsidRDefault="00A32BC0" w:rsidP="00A32BC0">
      <w:pPr>
        <w:jc w:val="center"/>
        <w:rPr>
          <w:color w:val="0000FF"/>
          <w:u w:val="single"/>
        </w:rPr>
      </w:pPr>
      <w:hyperlink r:id="rId22" w:history="1">
        <w:r>
          <w:rPr>
            <w:color w:val="0000FF"/>
            <w:u w:val="single"/>
            <w:rtl/>
          </w:rPr>
          <w:t>בעניין עריכה ושינויים במסמכי פסיקה, חקיקה ועוד באתר נבו – הקש כאן</w:t>
        </w:r>
      </w:hyperlink>
    </w:p>
    <w:p w:rsidR="002427C9" w:rsidRPr="00A32BC0" w:rsidRDefault="002427C9" w:rsidP="00A32BC0">
      <w:pPr>
        <w:jc w:val="center"/>
        <w:rPr>
          <w:color w:val="0000FF"/>
          <w:u w:val="single"/>
        </w:rPr>
      </w:pPr>
    </w:p>
    <w:sectPr w:rsidR="002427C9" w:rsidRPr="00A32BC0" w:rsidSect="00A32BC0">
      <w:headerReference w:type="even" r:id="rId23"/>
      <w:headerReference w:type="default" r:id="rId24"/>
      <w:footerReference w:type="even" r:id="rId25"/>
      <w:footerReference w:type="default" r:id="rId26"/>
      <w:pgSz w:w="11907" w:h="16840" w:code="9"/>
      <w:pgMar w:top="1701" w:right="1701" w:bottom="1134" w:left="1701" w:header="720" w:footer="737" w:gutter="0"/>
      <w:pgNumType w:start="1"/>
      <w:cols w:space="720"/>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93D85" w:rsidRPr="00C86F9D" w:rsidRDefault="00E93D85">
      <w:pPr>
        <w:rPr>
          <w:rFonts w:cs="Arial"/>
          <w:szCs w:val="20"/>
        </w:rPr>
      </w:pPr>
      <w:r>
        <w:separator/>
      </w:r>
    </w:p>
  </w:endnote>
  <w:endnote w:type="continuationSeparator" w:id="1">
    <w:p w:rsidR="00E93D85" w:rsidRPr="00C86F9D" w:rsidRDefault="00E93D85">
      <w:pPr>
        <w:rPr>
          <w:rFonts w:cs="Arial"/>
          <w:szCs w:val="20"/>
        </w:rPr>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David">
    <w:panose1 w:val="00000000000000000000"/>
    <w:charset w:val="B1"/>
    <w:family w:val="auto"/>
    <w:pitch w:val="variable"/>
    <w:sig w:usb0="00000801" w:usb1="00000000" w:usb2="00000000" w:usb3="00000000" w:csb0="00000020" w:csb1="00000000"/>
  </w:font>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FrankRuehl">
    <w:panose1 w:val="00000000000000000000"/>
    <w:charset w:val="B1"/>
    <w:family w:val="auto"/>
    <w:pitch w:val="variable"/>
    <w:sig w:usb0="00000801" w:usb1="00000000" w:usb2="00000000" w:usb3="00000000" w:csb0="0000002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2BC0" w:rsidRDefault="00A32BC0" w:rsidP="00A32BC0">
    <w:pPr>
      <w:pStyle w:val="a4"/>
      <w:jc w:val="center"/>
      <w:rPr>
        <w:rFonts w:ascii="FrankRuehl" w:hAnsi="FrankRuehl" w:cs="FrankRuehl"/>
      </w:rPr>
    </w:pPr>
    <w:r>
      <w:rPr>
        <w:rFonts w:ascii="FrankRuehl" w:hAnsi="FrankRuehl" w:cs="FrankRuehl"/>
        <w:rtl/>
      </w:rPr>
      <w:fldChar w:fldCharType="begin"/>
    </w:r>
    <w:r>
      <w:rPr>
        <w:rFonts w:ascii="FrankRuehl" w:hAnsi="FrankRuehl" w:cs="FrankRuehl"/>
        <w:rtl/>
      </w:rPr>
      <w:instrText xml:space="preserve"> </w:instrText>
    </w:r>
    <w:r>
      <w:rPr>
        <w:rFonts w:ascii="FrankRuehl" w:hAnsi="FrankRuehl" w:cs="FrankRuehl"/>
      </w:rPr>
      <w:instrText>PAGE</w:instrText>
    </w:r>
    <w:r>
      <w:rPr>
        <w:rFonts w:ascii="FrankRuehl" w:hAnsi="FrankRuehl" w:cs="FrankRuehl"/>
        <w:rtl/>
      </w:rPr>
      <w:instrText xml:space="preserve">  \* </w:instrText>
    </w:r>
    <w:r>
      <w:rPr>
        <w:rFonts w:ascii="FrankRuehl" w:hAnsi="FrankRuehl" w:cs="FrankRuehl"/>
      </w:rPr>
      <w:instrText>MERGEFORMAT</w:instrText>
    </w:r>
    <w:r>
      <w:rPr>
        <w:rFonts w:ascii="FrankRuehl" w:hAnsi="FrankRuehl" w:cs="FrankRuehl"/>
        <w:rtl/>
      </w:rPr>
      <w:instrText xml:space="preserve"> </w:instrText>
    </w:r>
    <w:r>
      <w:rPr>
        <w:rFonts w:ascii="FrankRuehl" w:hAnsi="FrankRuehl" w:cs="FrankRuehl"/>
        <w:rtl/>
      </w:rPr>
      <w:fldChar w:fldCharType="separate"/>
    </w:r>
    <w:r>
      <w:rPr>
        <w:rFonts w:ascii="FrankRuehl" w:hAnsi="FrankRuehl" w:cs="FrankRuehl"/>
        <w:rtl/>
      </w:rPr>
      <w:t>8</w:t>
    </w:r>
    <w:r>
      <w:rPr>
        <w:rFonts w:ascii="FrankRuehl" w:hAnsi="FrankRuehl" w:cs="FrankRuehl"/>
        <w:rtl/>
      </w:rPr>
      <w:fldChar w:fldCharType="end"/>
    </w:r>
  </w:p>
  <w:p w:rsidR="00A32BC0" w:rsidRPr="00A32BC0" w:rsidRDefault="002A685D" w:rsidP="00A32BC0">
    <w:pPr>
      <w:pStyle w:val="a4"/>
      <w:pBdr>
        <w:top w:val="single" w:sz="4" w:space="1" w:color="auto"/>
        <w:between w:val="single" w:sz="4" w:space="0" w:color="auto"/>
      </w:pBdr>
      <w:spacing w:after="60"/>
      <w:jc w:val="center"/>
      <w:rPr>
        <w:rFonts w:ascii="FrankRuehl" w:hAnsi="FrankRuehl" w:cs="FrankRuehl"/>
        <w:color w:val="000000"/>
      </w:rPr>
    </w:pPr>
    <w:r>
      <w:rPr>
        <w:rFonts w:ascii="FrankRuehl" w:hAnsi="FrankRuehl" w:cs="FrankRuehl"/>
        <w:color w:val="000000"/>
      </w:rPr>
      <w:drawing>
        <wp:inline distT="0" distB="0" distL="0" distR="0">
          <wp:extent cx="552450" cy="228600"/>
          <wp:effectExtent l="19050" t="0" r="0" b="0"/>
          <wp:docPr id="1" name="תמונה 1" descr="Nevo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vologo2"/>
                  <pic:cNvPicPr>
                    <a:picLocks noChangeAspect="1" noChangeArrowheads="1"/>
                  </pic:cNvPicPr>
                </pic:nvPicPr>
                <pic:blipFill>
                  <a:blip r:embed="rId1"/>
                  <a:srcRect/>
                  <a:stretch>
                    <a:fillRect/>
                  </a:stretch>
                </pic:blipFill>
                <pic:spPr bwMode="auto">
                  <a:xfrm>
                    <a:off x="0" y="0"/>
                    <a:ext cx="552450" cy="228600"/>
                  </a:xfrm>
                  <a:prstGeom prst="rect">
                    <a:avLst/>
                  </a:prstGeom>
                  <a:noFill/>
                  <a:ln w="9525">
                    <a:noFill/>
                    <a:miter lim="800000"/>
                    <a:headEnd/>
                    <a:tailEnd/>
                  </a:ln>
                </pic:spPr>
              </pic:pic>
            </a:graphicData>
          </a:graphic>
        </wp:inline>
      </w:drawing>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2BC0" w:rsidRDefault="00A32BC0" w:rsidP="00A32BC0">
    <w:pPr>
      <w:pStyle w:val="a4"/>
      <w:jc w:val="center"/>
      <w:rPr>
        <w:rStyle w:val="a5"/>
        <w:rFonts w:ascii="FrankRuehl" w:hAnsi="FrankRuehl" w:cs="FrankRuehl"/>
      </w:rPr>
    </w:pPr>
    <w:r>
      <w:rPr>
        <w:rStyle w:val="a5"/>
        <w:rFonts w:ascii="FrankRuehl" w:hAnsi="FrankRuehl" w:cs="FrankRuehl"/>
        <w:rtl/>
      </w:rPr>
      <w:fldChar w:fldCharType="begin"/>
    </w:r>
    <w:r>
      <w:rPr>
        <w:rStyle w:val="a5"/>
        <w:rFonts w:ascii="FrankRuehl" w:hAnsi="FrankRuehl" w:cs="FrankRuehl"/>
        <w:rtl/>
      </w:rPr>
      <w:instrText xml:space="preserve"> </w:instrText>
    </w:r>
    <w:r>
      <w:rPr>
        <w:rStyle w:val="a5"/>
        <w:rFonts w:ascii="FrankRuehl" w:hAnsi="FrankRuehl" w:cs="FrankRuehl"/>
      </w:rPr>
      <w:instrText>PAGE</w:instrText>
    </w:r>
    <w:r>
      <w:rPr>
        <w:rStyle w:val="a5"/>
        <w:rFonts w:ascii="FrankRuehl" w:hAnsi="FrankRuehl" w:cs="FrankRuehl"/>
        <w:rtl/>
      </w:rPr>
      <w:instrText xml:space="preserve">  \* </w:instrText>
    </w:r>
    <w:r>
      <w:rPr>
        <w:rStyle w:val="a5"/>
        <w:rFonts w:ascii="FrankRuehl" w:hAnsi="FrankRuehl" w:cs="FrankRuehl"/>
      </w:rPr>
      <w:instrText>MERGEFORMAT</w:instrText>
    </w:r>
    <w:r>
      <w:rPr>
        <w:rStyle w:val="a5"/>
        <w:rFonts w:ascii="FrankRuehl" w:hAnsi="FrankRuehl" w:cs="FrankRuehl"/>
        <w:rtl/>
      </w:rPr>
      <w:instrText xml:space="preserve"> </w:instrText>
    </w:r>
    <w:r>
      <w:rPr>
        <w:rStyle w:val="a5"/>
        <w:rFonts w:ascii="FrankRuehl" w:hAnsi="FrankRuehl" w:cs="FrankRuehl"/>
        <w:rtl/>
      </w:rPr>
      <w:fldChar w:fldCharType="separate"/>
    </w:r>
    <w:r w:rsidR="002A685D">
      <w:rPr>
        <w:rStyle w:val="a5"/>
        <w:rFonts w:ascii="FrankRuehl" w:hAnsi="FrankRuehl" w:cs="FrankRuehl"/>
        <w:rtl/>
      </w:rPr>
      <w:t>1</w:t>
    </w:r>
    <w:r>
      <w:rPr>
        <w:rStyle w:val="a5"/>
        <w:rFonts w:ascii="FrankRuehl" w:hAnsi="FrankRuehl" w:cs="FrankRuehl"/>
        <w:rtl/>
      </w:rPr>
      <w:fldChar w:fldCharType="end"/>
    </w:r>
  </w:p>
  <w:p w:rsidR="002427C9" w:rsidRPr="00A32BC0" w:rsidRDefault="002A685D" w:rsidP="00A32BC0">
    <w:pPr>
      <w:pStyle w:val="a4"/>
      <w:pBdr>
        <w:top w:val="single" w:sz="4" w:space="1" w:color="auto"/>
        <w:between w:val="single" w:sz="4" w:space="0" w:color="auto"/>
      </w:pBdr>
      <w:spacing w:after="60"/>
      <w:jc w:val="center"/>
      <w:rPr>
        <w:rStyle w:val="a5"/>
        <w:rFonts w:ascii="FrankRuehl" w:hAnsi="FrankRuehl" w:cs="FrankRuehl"/>
        <w:color w:val="000000"/>
      </w:rPr>
    </w:pPr>
    <w:r>
      <w:rPr>
        <w:rFonts w:ascii="FrankRuehl" w:hAnsi="FrankRuehl" w:cs="FrankRuehl"/>
        <w:color w:val="000000"/>
      </w:rPr>
      <w:drawing>
        <wp:inline distT="0" distB="0" distL="0" distR="0">
          <wp:extent cx="552450" cy="228600"/>
          <wp:effectExtent l="19050" t="0" r="0" b="0"/>
          <wp:docPr id="2" name="תמונה 2" descr="Nevo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vologo2"/>
                  <pic:cNvPicPr>
                    <a:picLocks noChangeAspect="1" noChangeArrowheads="1"/>
                  </pic:cNvPicPr>
                </pic:nvPicPr>
                <pic:blipFill>
                  <a:blip r:embed="rId1"/>
                  <a:srcRect/>
                  <a:stretch>
                    <a:fillRect/>
                  </a:stretch>
                </pic:blipFill>
                <pic:spPr bwMode="auto">
                  <a:xfrm>
                    <a:off x="0" y="0"/>
                    <a:ext cx="552450" cy="228600"/>
                  </a:xfrm>
                  <a:prstGeom prst="rect">
                    <a:avLst/>
                  </a:prstGeom>
                  <a:noFill/>
                  <a:ln w="9525">
                    <a:noFill/>
                    <a:miter lim="800000"/>
                    <a:headEnd/>
                    <a:tailEnd/>
                  </a:ln>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93D85" w:rsidRPr="00C86F9D" w:rsidRDefault="00E93D85">
      <w:pPr>
        <w:rPr>
          <w:rFonts w:cs="Arial"/>
          <w:szCs w:val="20"/>
        </w:rPr>
      </w:pPr>
      <w:r>
        <w:separator/>
      </w:r>
    </w:p>
  </w:footnote>
  <w:footnote w:type="continuationSeparator" w:id="1">
    <w:p w:rsidR="00E93D85" w:rsidRPr="00C86F9D" w:rsidRDefault="00E93D85">
      <w:pPr>
        <w:rPr>
          <w:rFonts w:cs="Arial"/>
          <w:szCs w:val="20"/>
        </w:rPr>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2BC0" w:rsidRPr="00A32BC0" w:rsidRDefault="00A32BC0" w:rsidP="00A32BC0">
    <w:pPr>
      <w:pStyle w:val="a3"/>
      <w:pBdr>
        <w:bottom w:val="single" w:sz="4" w:space="1" w:color="auto"/>
      </w:pBdr>
      <w:tabs>
        <w:tab w:val="clear" w:pos="4153"/>
        <w:tab w:val="clear" w:pos="8306"/>
        <w:tab w:val="right" w:pos="8311"/>
      </w:tabs>
      <w:spacing w:line="220" w:lineRule="exact"/>
      <w:rPr>
        <w:rFonts w:ascii="David" w:hAnsi="David"/>
        <w:color w:val="000000"/>
        <w:sz w:val="22"/>
        <w:szCs w:val="22"/>
        <w:rtl/>
      </w:rPr>
    </w:pPr>
    <w:r>
      <w:rPr>
        <w:rFonts w:ascii="David" w:hAnsi="David"/>
        <w:color w:val="000000"/>
        <w:sz w:val="22"/>
        <w:szCs w:val="22"/>
        <w:rtl/>
      </w:rPr>
      <w:t xml:space="preserve"> (ת"א) 2328/06 עתמ (ת"א) 2328-06</w:t>
    </w:r>
    <w:r>
      <w:rPr>
        <w:rFonts w:ascii="David" w:hAnsi="David"/>
        <w:color w:val="000000"/>
        <w:sz w:val="22"/>
        <w:szCs w:val="22"/>
        <w:rtl/>
      </w:rPr>
      <w:tab/>
      <w:t xml:space="preserve"> נאות לירן נ' הוועדה המחוזית לתכנון ובניה מחוז המרכז</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2BC0" w:rsidRPr="00A32BC0" w:rsidRDefault="00A32BC0" w:rsidP="00A32BC0">
    <w:pPr>
      <w:pStyle w:val="a3"/>
      <w:pBdr>
        <w:bottom w:val="single" w:sz="4" w:space="1" w:color="auto"/>
      </w:pBdr>
      <w:tabs>
        <w:tab w:val="clear" w:pos="4153"/>
        <w:tab w:val="clear" w:pos="8306"/>
        <w:tab w:val="right" w:pos="8311"/>
      </w:tabs>
      <w:spacing w:line="220" w:lineRule="exact"/>
      <w:rPr>
        <w:rFonts w:ascii="David" w:hAnsi="David"/>
        <w:color w:val="000000"/>
        <w:sz w:val="22"/>
        <w:szCs w:val="22"/>
        <w:rtl/>
      </w:rPr>
    </w:pPr>
    <w:r>
      <w:rPr>
        <w:rFonts w:ascii="David" w:hAnsi="David"/>
        <w:color w:val="000000"/>
        <w:sz w:val="22"/>
        <w:szCs w:val="22"/>
        <w:rtl/>
      </w:rPr>
      <w:t xml:space="preserve"> (ת"א) 2328/06 עתמ (ת"א) 2328-06</w:t>
    </w:r>
    <w:r>
      <w:rPr>
        <w:rFonts w:ascii="David" w:hAnsi="David"/>
        <w:color w:val="000000"/>
        <w:sz w:val="22"/>
        <w:szCs w:val="22"/>
        <w:rtl/>
      </w:rPr>
      <w:tab/>
      <w:t xml:space="preserve"> נאות לירן נ' הוועדה המחוזית לתכנון ובניה מחוז המרכז</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DE111F"/>
    <w:multiLevelType w:val="hybridMultilevel"/>
    <w:tmpl w:val="ED0C9A66"/>
    <w:lvl w:ilvl="0" w:tplc="2C0EA0D8">
      <w:numFmt w:val="bullet"/>
      <w:lvlText w:val="-"/>
      <w:lvlJc w:val="left"/>
      <w:pPr>
        <w:ind w:left="720" w:hanging="360"/>
      </w:pPr>
      <w:rPr>
        <w:rFonts w:ascii="Calibri" w:eastAsia="Calibri" w:hAnsi="Calibri"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9E168E4"/>
    <w:multiLevelType w:val="hybridMultilevel"/>
    <w:tmpl w:val="7D1E8ABE"/>
    <w:lvl w:ilvl="0" w:tplc="780A90A4">
      <w:start w:val="1"/>
      <w:numFmt w:val="decimal"/>
      <w:lvlText w:val="%1."/>
      <w:lvlJc w:val="left"/>
      <w:pPr>
        <w:tabs>
          <w:tab w:val="num" w:pos="720"/>
        </w:tabs>
        <w:ind w:left="720" w:hanging="360"/>
      </w:pPr>
      <w:rPr>
        <w:rFonts w:cs="Times New Roman" w:hint="default"/>
        <w:b w:val="0"/>
        <w:bCs w:val="0"/>
      </w:rPr>
    </w:lvl>
    <w:lvl w:ilvl="1" w:tplc="3B0E1C3E">
      <w:start w:val="1"/>
      <w:numFmt w:val="hebrew1"/>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drawingGridHorizontalSpacing w:val="120"/>
  <w:displayHorizontalDrawingGridEvery w:val="2"/>
  <w:characterSpacingControl w:val="doNotCompress"/>
  <w:footnotePr>
    <w:footnote w:id="0"/>
    <w:footnote w:id="1"/>
  </w:footnotePr>
  <w:endnotePr>
    <w:endnote w:id="0"/>
    <w:endnote w:id="1"/>
  </w:endnotePr>
  <w:compat/>
  <w:docVars>
    <w:docVar w:name="MyInfo" w:val="This document was extracted from Nevo's site"/>
  </w:docVars>
  <w:rsids>
    <w:rsidRoot w:val="002427C9"/>
    <w:rsid w:val="00091EE9"/>
    <w:rsid w:val="00105BEC"/>
    <w:rsid w:val="001A1E06"/>
    <w:rsid w:val="002427C9"/>
    <w:rsid w:val="002A685D"/>
    <w:rsid w:val="004023AE"/>
    <w:rsid w:val="008D66D3"/>
    <w:rsid w:val="00924CB1"/>
    <w:rsid w:val="00A32BC0"/>
    <w:rsid w:val="00E93D85"/>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427C9"/>
    <w:pPr>
      <w:bidi/>
    </w:pPr>
    <w:rPr>
      <w:rFonts w:cs="David"/>
      <w:noProof/>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rsid w:val="002427C9"/>
    <w:pPr>
      <w:tabs>
        <w:tab w:val="center" w:pos="4153"/>
        <w:tab w:val="right" w:pos="8306"/>
      </w:tabs>
    </w:pPr>
  </w:style>
  <w:style w:type="paragraph" w:styleId="a4">
    <w:name w:val="footer"/>
    <w:basedOn w:val="a"/>
    <w:rsid w:val="002427C9"/>
    <w:pPr>
      <w:tabs>
        <w:tab w:val="center" w:pos="4153"/>
        <w:tab w:val="right" w:pos="8306"/>
      </w:tabs>
    </w:pPr>
  </w:style>
  <w:style w:type="character" w:styleId="a5">
    <w:name w:val="page number"/>
    <w:basedOn w:val="a0"/>
    <w:rsid w:val="002427C9"/>
  </w:style>
  <w:style w:type="character" w:customStyle="1" w:styleId="default">
    <w:name w:val="default"/>
    <w:rsid w:val="002427C9"/>
    <w:rPr>
      <w:rFonts w:ascii="Times New Roman" w:hAnsi="Times New Roman"/>
      <w:sz w:val="26"/>
    </w:rPr>
  </w:style>
  <w:style w:type="paragraph" w:customStyle="1" w:styleId="ListParagraph">
    <w:name w:val="List Paragraph"/>
    <w:basedOn w:val="a"/>
    <w:rsid w:val="002427C9"/>
    <w:pPr>
      <w:ind w:left="720"/>
    </w:pPr>
    <w:rPr>
      <w:rFonts w:cs="Times New Roman"/>
      <w:noProof w:val="0"/>
    </w:rPr>
  </w:style>
  <w:style w:type="character" w:styleId="a6">
    <w:name w:val="line number"/>
    <w:basedOn w:val="a0"/>
    <w:rsid w:val="002427C9"/>
  </w:style>
  <w:style w:type="character" w:styleId="Hyperlink">
    <w:name w:val="Hyperlink"/>
    <w:basedOn w:val="a0"/>
    <w:rsid w:val="00A32BC0"/>
    <w:rPr>
      <w:color w:val="0000FF"/>
      <w:u w:val="single"/>
    </w:rPr>
  </w:style>
  <w:style w:type="paragraph" w:styleId="a7">
    <w:name w:val="List Paragraph"/>
    <w:basedOn w:val="a"/>
    <w:qFormat/>
    <w:rsid w:val="001A1E06"/>
    <w:pPr>
      <w:spacing w:after="160" w:line="259" w:lineRule="auto"/>
      <w:ind w:left="720"/>
      <w:contextualSpacing/>
    </w:pPr>
    <w:rPr>
      <w:rFonts w:ascii="Calibri" w:eastAsia="Calibri" w:hAnsi="Calibri" w:cs="Arial"/>
      <w:noProof w:val="0"/>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evo.co.il/law_html/law01/306_001.htm" TargetMode="External"/><Relationship Id="rId13" Type="http://schemas.openxmlformats.org/officeDocument/2006/relationships/hyperlink" Target="http://www.nevo.co.il/links/psika/?link=&#1506;&#1514;&#1502;%202218/08" TargetMode="External"/><Relationship Id="rId18" Type="http://schemas.openxmlformats.org/officeDocument/2006/relationships/hyperlink" Target="http://www.nevo.co.il/links/psika/?link=&#1489;&#1490;&#1509;%202920/94&amp;Pvol=&#1504;"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http://www.nevo.co.il/law_html/law01/055_060.htm" TargetMode="External"/><Relationship Id="rId7" Type="http://schemas.openxmlformats.org/officeDocument/2006/relationships/hyperlink" Target="http://www.nevo.co.il/links/psika/?link=&#1514;&#1488;%204669/05" TargetMode="External"/><Relationship Id="rId12" Type="http://schemas.openxmlformats.org/officeDocument/2006/relationships/hyperlink" Target="http://www.nevo.co.il/psika_word/minhali/MM-11-11-4145-447.doc" TargetMode="External"/><Relationship Id="rId17" Type="http://schemas.openxmlformats.org/officeDocument/2006/relationships/hyperlink" Target="http://www.nevo.co.il/links/psika/?link=&#1489;&#1513;&#1490;&#1509;%20192/86"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nevo.co.il/links/psika/?link=&#1489;&#1490;&#1509;%20389/87" TargetMode="External"/><Relationship Id="rId20" Type="http://schemas.openxmlformats.org/officeDocument/2006/relationships/hyperlink" Target="http://www.nevo.co.il/links/psika/?link=&#1506;&#1506;&#1502;%202418/05"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evo.co.il/links/psika/?link=&#1506;&#1506;&#1502;%209057/09" TargetMode="External"/><Relationship Id="rId24"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www.nevo.co.il/links/psika/?link=&#1489;&#1490;&#1509;%20197/83"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hyperlink" Target="http://www.nevo.co.il/links/psika/?link=&#1489;&#1490;&#1509;%208171/09" TargetMode="External"/><Relationship Id="rId19" Type="http://schemas.openxmlformats.org/officeDocument/2006/relationships/hyperlink" Target="http://www.nevo.co.il/links/psika/?link=&#1489;&#1490;&#1509;%204776/03" TargetMode="External"/><Relationship Id="rId4" Type="http://schemas.openxmlformats.org/officeDocument/2006/relationships/webSettings" Target="webSettings.xml"/><Relationship Id="rId9" Type="http://schemas.openxmlformats.org/officeDocument/2006/relationships/hyperlink" Target="http://www.nevo.co.il/law_html/law01/184_001.htm" TargetMode="External"/><Relationship Id="rId14" Type="http://schemas.openxmlformats.org/officeDocument/2006/relationships/hyperlink" Target="http://www.nevo.co.il/links/psika/?link=&#1489;&#1490;&#1509;%202324/91" TargetMode="External"/><Relationship Id="rId22" Type="http://schemas.openxmlformats.org/officeDocument/2006/relationships/hyperlink" Target="http://www.nevo.co.il/advertisements/nevo-100.doc" TargetMode="Externa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2877</Words>
  <Characters>14388</Characters>
  <Application>Microsoft Office Word</Application>
  <DocSecurity>0</DocSecurity>
  <Lines>119</Lines>
  <Paragraphs>34</Paragraphs>
  <ScaleCrop>false</ScaleCrop>
  <HeadingPairs>
    <vt:vector size="2" baseType="variant">
      <vt:variant>
        <vt:lpstr>Title</vt:lpstr>
      </vt:variant>
      <vt:variant>
        <vt:i4>1</vt:i4>
      </vt:variant>
    </vt:vector>
  </HeadingPairs>
  <TitlesOfParts>
    <vt:vector size="1" baseType="lpstr">
      <vt:lpstr>nevo.co.il</vt:lpstr>
    </vt:vector>
  </TitlesOfParts>
  <Company> </Company>
  <LinksUpToDate>false</LinksUpToDate>
  <CharactersWithSpaces>17231</CharactersWithSpaces>
  <SharedDoc>false</SharedDoc>
  <HLinks>
    <vt:vector size="96" baseType="variant">
      <vt:variant>
        <vt:i4>393283</vt:i4>
      </vt:variant>
      <vt:variant>
        <vt:i4>45</vt:i4>
      </vt:variant>
      <vt:variant>
        <vt:i4>0</vt:i4>
      </vt:variant>
      <vt:variant>
        <vt:i4>5</vt:i4>
      </vt:variant>
      <vt:variant>
        <vt:lpwstr>http://www.nevo.co.il/advertisements/nevo-100.doc</vt:lpwstr>
      </vt:variant>
      <vt:variant>
        <vt:lpwstr/>
      </vt:variant>
      <vt:variant>
        <vt:i4>3670066</vt:i4>
      </vt:variant>
      <vt:variant>
        <vt:i4>42</vt:i4>
      </vt:variant>
      <vt:variant>
        <vt:i4>0</vt:i4>
      </vt:variant>
      <vt:variant>
        <vt:i4>5</vt:i4>
      </vt:variant>
      <vt:variant>
        <vt:lpwstr>http://www.nevo.co.il/law_html/law01/055_060.htm</vt:lpwstr>
      </vt:variant>
      <vt:variant>
        <vt:lpwstr/>
      </vt:variant>
      <vt:variant>
        <vt:i4>99549279</vt:i4>
      </vt:variant>
      <vt:variant>
        <vt:i4>39</vt:i4>
      </vt:variant>
      <vt:variant>
        <vt:i4>0</vt:i4>
      </vt:variant>
      <vt:variant>
        <vt:i4>5</vt:i4>
      </vt:variant>
      <vt:variant>
        <vt:lpwstr>http://www.nevo.co.il/links/psika/?link=עעמ 2418/05</vt:lpwstr>
      </vt:variant>
      <vt:variant>
        <vt:lpwstr/>
      </vt:variant>
      <vt:variant>
        <vt:i4>97648727</vt:i4>
      </vt:variant>
      <vt:variant>
        <vt:i4>36</vt:i4>
      </vt:variant>
      <vt:variant>
        <vt:i4>0</vt:i4>
      </vt:variant>
      <vt:variant>
        <vt:i4>5</vt:i4>
      </vt:variant>
      <vt:variant>
        <vt:lpwstr>http://www.nevo.co.il/links/psika/?link=בגץ 4776/03</vt:lpwstr>
      </vt:variant>
      <vt:variant>
        <vt:lpwstr/>
      </vt:variant>
      <vt:variant>
        <vt:i4>983106</vt:i4>
      </vt:variant>
      <vt:variant>
        <vt:i4>33</vt:i4>
      </vt:variant>
      <vt:variant>
        <vt:i4>0</vt:i4>
      </vt:variant>
      <vt:variant>
        <vt:i4>5</vt:i4>
      </vt:variant>
      <vt:variant>
        <vt:lpwstr>http://www.nevo.co.il/links/psika/?link=בגץ 2920/94&amp;Pvol=נ</vt:lpwstr>
      </vt:variant>
      <vt:variant>
        <vt:lpwstr/>
      </vt:variant>
      <vt:variant>
        <vt:i4>2490490</vt:i4>
      </vt:variant>
      <vt:variant>
        <vt:i4>30</vt:i4>
      </vt:variant>
      <vt:variant>
        <vt:i4>0</vt:i4>
      </vt:variant>
      <vt:variant>
        <vt:i4>5</vt:i4>
      </vt:variant>
      <vt:variant>
        <vt:lpwstr>http://www.nevo.co.il/links/psika/?link=בשגץ 192/86</vt:lpwstr>
      </vt:variant>
      <vt:variant>
        <vt:lpwstr/>
      </vt:variant>
      <vt:variant>
        <vt:i4>96665673</vt:i4>
      </vt:variant>
      <vt:variant>
        <vt:i4>27</vt:i4>
      </vt:variant>
      <vt:variant>
        <vt:i4>0</vt:i4>
      </vt:variant>
      <vt:variant>
        <vt:i4>5</vt:i4>
      </vt:variant>
      <vt:variant>
        <vt:lpwstr>http://www.nevo.co.il/links/psika/?link=בגץ 389/87</vt:lpwstr>
      </vt:variant>
      <vt:variant>
        <vt:lpwstr/>
      </vt:variant>
      <vt:variant>
        <vt:i4>96862277</vt:i4>
      </vt:variant>
      <vt:variant>
        <vt:i4>24</vt:i4>
      </vt:variant>
      <vt:variant>
        <vt:i4>0</vt:i4>
      </vt:variant>
      <vt:variant>
        <vt:i4>5</vt:i4>
      </vt:variant>
      <vt:variant>
        <vt:lpwstr>http://www.nevo.co.il/links/psika/?link=בגץ 197/83</vt:lpwstr>
      </vt:variant>
      <vt:variant>
        <vt:lpwstr/>
      </vt:variant>
      <vt:variant>
        <vt:i4>99090534</vt:i4>
      </vt:variant>
      <vt:variant>
        <vt:i4>21</vt:i4>
      </vt:variant>
      <vt:variant>
        <vt:i4>0</vt:i4>
      </vt:variant>
      <vt:variant>
        <vt:i4>5</vt:i4>
      </vt:variant>
      <vt:variant>
        <vt:lpwstr>http://www.nevo.co.il/links/psika/?link=בגץ%202324/91</vt:lpwstr>
      </vt:variant>
      <vt:variant>
        <vt:lpwstr/>
      </vt:variant>
      <vt:variant>
        <vt:i4>98631775</vt:i4>
      </vt:variant>
      <vt:variant>
        <vt:i4>18</vt:i4>
      </vt:variant>
      <vt:variant>
        <vt:i4>0</vt:i4>
      </vt:variant>
      <vt:variant>
        <vt:i4>5</vt:i4>
      </vt:variant>
      <vt:variant>
        <vt:lpwstr>http://www.nevo.co.il/links/psika/?link=עתמ 2218/08</vt:lpwstr>
      </vt:variant>
      <vt:variant>
        <vt:lpwstr/>
      </vt:variant>
      <vt:variant>
        <vt:i4>1966195</vt:i4>
      </vt:variant>
      <vt:variant>
        <vt:i4>15</vt:i4>
      </vt:variant>
      <vt:variant>
        <vt:i4>0</vt:i4>
      </vt:variant>
      <vt:variant>
        <vt:i4>5</vt:i4>
      </vt:variant>
      <vt:variant>
        <vt:lpwstr>http://www.nevo.co.il/psika_word/minhali/MM-11-11-4145-447.doc</vt:lpwstr>
      </vt:variant>
      <vt:variant>
        <vt:lpwstr/>
      </vt:variant>
      <vt:variant>
        <vt:i4>98828368</vt:i4>
      </vt:variant>
      <vt:variant>
        <vt:i4>12</vt:i4>
      </vt:variant>
      <vt:variant>
        <vt:i4>0</vt:i4>
      </vt:variant>
      <vt:variant>
        <vt:i4>5</vt:i4>
      </vt:variant>
      <vt:variant>
        <vt:lpwstr>http://www.nevo.co.il/links/psika/?link=עעמ 9057/09</vt:lpwstr>
      </vt:variant>
      <vt:variant>
        <vt:lpwstr/>
      </vt:variant>
      <vt:variant>
        <vt:i4>97714267</vt:i4>
      </vt:variant>
      <vt:variant>
        <vt:i4>9</vt:i4>
      </vt:variant>
      <vt:variant>
        <vt:i4>0</vt:i4>
      </vt:variant>
      <vt:variant>
        <vt:i4>5</vt:i4>
      </vt:variant>
      <vt:variant>
        <vt:lpwstr>http://www.nevo.co.il/links/psika/?link=בגץ 8171/09</vt:lpwstr>
      </vt:variant>
      <vt:variant>
        <vt:lpwstr/>
      </vt:variant>
      <vt:variant>
        <vt:i4>3735609</vt:i4>
      </vt:variant>
      <vt:variant>
        <vt:i4>6</vt:i4>
      </vt:variant>
      <vt:variant>
        <vt:i4>0</vt:i4>
      </vt:variant>
      <vt:variant>
        <vt:i4>5</vt:i4>
      </vt:variant>
      <vt:variant>
        <vt:lpwstr>http://www.nevo.co.il/law_html/law01/184_001.htm</vt:lpwstr>
      </vt:variant>
      <vt:variant>
        <vt:lpwstr/>
      </vt:variant>
      <vt:variant>
        <vt:i4>3735601</vt:i4>
      </vt:variant>
      <vt:variant>
        <vt:i4>3</vt:i4>
      </vt:variant>
      <vt:variant>
        <vt:i4>0</vt:i4>
      </vt:variant>
      <vt:variant>
        <vt:i4>5</vt:i4>
      </vt:variant>
      <vt:variant>
        <vt:lpwstr>http://www.nevo.co.il/law_html/law01/306_001.htm</vt:lpwstr>
      </vt:variant>
      <vt:variant>
        <vt:lpwstr/>
      </vt:variant>
      <vt:variant>
        <vt:i4>98108858</vt:i4>
      </vt:variant>
      <vt:variant>
        <vt:i4>0</vt:i4>
      </vt:variant>
      <vt:variant>
        <vt:i4>0</vt:i4>
      </vt:variant>
      <vt:variant>
        <vt:i4>5</vt:i4>
      </vt:variant>
      <vt:variant>
        <vt:lpwstr>http://www.nevo.co.il/links/psika/?link=תא 4669/05</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nevo.co.il</dc:title>
  <dc:subject> </dc:subject>
  <dc:creator> </dc:creator>
  <cp:keywords/>
  <dc:description/>
  <cp:lastModifiedBy>*****</cp:lastModifiedBy>
  <cp:revision>2</cp:revision>
  <dcterms:created xsi:type="dcterms:W3CDTF">2014-08-21T05:39:00Z</dcterms:created>
  <dcterms:modified xsi:type="dcterms:W3CDTF">2014-08-21T05:39:00Z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6</vt:lpwstr>
  </property>
  <property fmtid="{D5CDD505-2E9C-101B-9397-08002B2CF9AE}" pid="3" name="PSAKDIN">
    <vt:lpwstr>פסק-דין</vt:lpwstr>
  </property>
  <property fmtid="{D5CDD505-2E9C-101B-9397-08002B2CF9AE}" pid="4" name="NEWPROC">
    <vt:lpwstr>עתמ</vt:lpwstr>
  </property>
  <property fmtid="{D5CDD505-2E9C-101B-9397-08002B2CF9AE}" pid="5" name="NEWPARTA">
    <vt:lpwstr>2328</vt:lpwstr>
  </property>
  <property fmtid="{D5CDD505-2E9C-101B-9397-08002B2CF9AE}" pid="6" name="NEWPARTB">
    <vt:lpwstr/>
  </property>
  <property fmtid="{D5CDD505-2E9C-101B-9397-08002B2CF9AE}" pid="7" name="NEWPARTC">
    <vt:lpwstr>06</vt:lpwstr>
  </property>
  <property fmtid="{D5CDD505-2E9C-101B-9397-08002B2CF9AE}" pid="8" name="PROCNUM">
    <vt:lpwstr>2328</vt:lpwstr>
  </property>
  <property fmtid="{D5CDD505-2E9C-101B-9397-08002B2CF9AE}" pid="9" name="PROCYEAR">
    <vt:lpwstr>06</vt:lpwstr>
  </property>
  <property fmtid="{D5CDD505-2E9C-101B-9397-08002B2CF9AE}" pid="10" name="APPELLANT">
    <vt:lpwstr>נאות לירן</vt:lpwstr>
  </property>
  <property fmtid="{D5CDD505-2E9C-101B-9397-08002B2CF9AE}" pid="11" name="APPELLEE">
    <vt:lpwstr>הוועדה המחוזית לתכנון ובניה מחוז המרכז</vt:lpwstr>
  </property>
  <property fmtid="{D5CDD505-2E9C-101B-9397-08002B2CF9AE}" pid="12" name="LAWYER">
    <vt:lpwstr>אייל פלשן;סירוטה ליבנה</vt:lpwstr>
  </property>
  <property fmtid="{D5CDD505-2E9C-101B-9397-08002B2CF9AE}" pid="13" name="JUDGE">
    <vt:lpwstr>יהודית שיצר</vt:lpwstr>
  </property>
  <property fmtid="{D5CDD505-2E9C-101B-9397-08002B2CF9AE}" pid="14" name="CITY">
    <vt:lpwstr>ת"א</vt:lpwstr>
  </property>
  <property fmtid="{D5CDD505-2E9C-101B-9397-08002B2CF9AE}" pid="15" name="DATE">
    <vt:lpwstr>20130530</vt:lpwstr>
  </property>
  <property fmtid="{D5CDD505-2E9C-101B-9397-08002B2CF9AE}" pid="16" name="TYPE_N_DATE">
    <vt:lpwstr>40020130530</vt:lpwstr>
  </property>
  <property fmtid="{D5CDD505-2E9C-101B-9397-08002B2CF9AE}" pid="17" name="WORDNUMPAGES">
    <vt:lpwstr>10</vt:lpwstr>
  </property>
  <property fmtid="{D5CDD505-2E9C-101B-9397-08002B2CF9AE}" pid="18" name="TYPE_ABS_DATE">
    <vt:lpwstr>400120130530</vt:lpwstr>
  </property>
  <property fmtid="{D5CDD505-2E9C-101B-9397-08002B2CF9AE}" pid="19" name="ISABSTRACT">
    <vt:lpwstr>Y</vt:lpwstr>
  </property>
  <property fmtid="{D5CDD505-2E9C-101B-9397-08002B2CF9AE}" pid="20" name="APPELLANT1">
    <vt:lpwstr/>
  </property>
  <property fmtid="{D5CDD505-2E9C-101B-9397-08002B2CF9AE}" pid="21" name="APPELLANT2">
    <vt:lpwstr/>
  </property>
  <property fmtid="{D5CDD505-2E9C-101B-9397-08002B2CF9AE}" pid="22" name="APPELLEE1">
    <vt:lpwstr/>
  </property>
  <property fmtid="{D5CDD505-2E9C-101B-9397-08002B2CF9AE}" pid="23" name="APPELLEE2">
    <vt:lpwstr/>
  </property>
  <property fmtid="{D5CDD505-2E9C-101B-9397-08002B2CF9AE}" pid="24" name="PROCESS">
    <vt:lpwstr/>
  </property>
  <property fmtid="{D5CDD505-2E9C-101B-9397-08002B2CF9AE}" pid="25" name="VOLUME">
    <vt:lpwstr/>
  </property>
  <property fmtid="{D5CDD505-2E9C-101B-9397-08002B2CF9AE}" pid="26" name="PART">
    <vt:lpwstr/>
  </property>
  <property fmtid="{D5CDD505-2E9C-101B-9397-08002B2CF9AE}" pid="27" name="PAGE">
    <vt:lpwstr/>
  </property>
  <property fmtid="{D5CDD505-2E9C-101B-9397-08002B2CF9AE}" pid="28" name="PADIMAIL">
    <vt:lpwstr>YES</vt:lpwstr>
  </property>
  <property fmtid="{D5CDD505-2E9C-101B-9397-08002B2CF9AE}" pid="29" name="DELEMATA">
    <vt:lpwstr/>
  </property>
  <property fmtid="{D5CDD505-2E9C-101B-9397-08002B2CF9AE}" pid="30" name="LINKK1">
    <vt:lpwstr/>
  </property>
  <property fmtid="{D5CDD505-2E9C-101B-9397-08002B2CF9AE}" pid="31" name="LINKK2">
    <vt:lpwstr/>
  </property>
  <property fmtid="{D5CDD505-2E9C-101B-9397-08002B2CF9AE}" pid="32" name="LINKK3">
    <vt:lpwstr/>
  </property>
  <property fmtid="{D5CDD505-2E9C-101B-9397-08002B2CF9AE}" pid="33" name="LINKK4">
    <vt:lpwstr/>
  </property>
  <property fmtid="{D5CDD505-2E9C-101B-9397-08002B2CF9AE}" pid="34" name="LINKK5">
    <vt:lpwstr/>
  </property>
  <property fmtid="{D5CDD505-2E9C-101B-9397-08002B2CF9AE}" pid="35" name="METAKZER">
    <vt:lpwstr>מיכל</vt:lpwstr>
  </property>
  <property fmtid="{D5CDD505-2E9C-101B-9397-08002B2CF9AE}" pid="36" name="NOSE1ID">
    <vt:lpwstr>60;60;60;60;60;103;103;103</vt:lpwstr>
  </property>
  <property fmtid="{D5CDD505-2E9C-101B-9397-08002B2CF9AE}" pid="37" name="NOSE2ID">
    <vt:lpwstr>1140;1147;12630;12630;1202;1813;1813;1813</vt:lpwstr>
  </property>
  <property fmtid="{D5CDD505-2E9C-101B-9397-08002B2CF9AE}" pid="38" name="NOSE3ID">
    <vt:lpwstr>7108;14859;12633;12632;;11125;11133;11131</vt:lpwstr>
  </property>
  <property fmtid="{D5CDD505-2E9C-101B-9397-08002B2CF9AE}" pid="39" name="NOSE11">
    <vt:lpwstr>משפט מינהלי</vt:lpwstr>
  </property>
  <property fmtid="{D5CDD505-2E9C-101B-9397-08002B2CF9AE}" pid="40" name="NOSE21">
    <vt:lpwstr>בית-המשפט לעניינים מינהליים</vt:lpwstr>
  </property>
  <property fmtid="{D5CDD505-2E9C-101B-9397-08002B2CF9AE}" pid="41" name="NOSE31">
    <vt:lpwstr>היקף הביקורת</vt:lpwstr>
  </property>
  <property fmtid="{D5CDD505-2E9C-101B-9397-08002B2CF9AE}" pid="42" name="NOSE12">
    <vt:lpwstr>משפט מינהלי</vt:lpwstr>
  </property>
  <property fmtid="{D5CDD505-2E9C-101B-9397-08002B2CF9AE}" pid="43" name="NOSE22">
    <vt:lpwstr>החלטות</vt:lpwstr>
  </property>
  <property fmtid="{D5CDD505-2E9C-101B-9397-08002B2CF9AE}" pid="44" name="NOSE32">
    <vt:lpwstr>מתחם הסבירות</vt:lpwstr>
  </property>
  <property fmtid="{D5CDD505-2E9C-101B-9397-08002B2CF9AE}" pid="45" name="NOSE13">
    <vt:lpwstr>משפט מינהלי</vt:lpwstr>
  </property>
  <property fmtid="{D5CDD505-2E9C-101B-9397-08002B2CF9AE}" pid="46" name="NOSE23">
    <vt:lpwstr>ועדות התכנון והבנייה</vt:lpwstr>
  </property>
  <property fmtid="{D5CDD505-2E9C-101B-9397-08002B2CF9AE}" pid="47" name="NOSE33">
    <vt:lpwstr>התערבות בית המשפט</vt:lpwstr>
  </property>
  <property fmtid="{D5CDD505-2E9C-101B-9397-08002B2CF9AE}" pid="48" name="NOSE14">
    <vt:lpwstr>משפט מינהלי</vt:lpwstr>
  </property>
  <property fmtid="{D5CDD505-2E9C-101B-9397-08002B2CF9AE}" pid="49" name="NOSE24">
    <vt:lpwstr>ועדות התכנון והבנייה</vt:lpwstr>
  </property>
  <property fmtid="{D5CDD505-2E9C-101B-9397-08002B2CF9AE}" pid="50" name="NOSE34">
    <vt:lpwstr>סמכויותיהן</vt:lpwstr>
  </property>
  <property fmtid="{D5CDD505-2E9C-101B-9397-08002B2CF9AE}" pid="51" name="NOSE15">
    <vt:lpwstr>משפט מינהלי</vt:lpwstr>
  </property>
  <property fmtid="{D5CDD505-2E9C-101B-9397-08002B2CF9AE}" pid="52" name="NOSE25">
    <vt:lpwstr>שיקול-דעת</vt:lpwstr>
  </property>
  <property fmtid="{D5CDD505-2E9C-101B-9397-08002B2CF9AE}" pid="53" name="NOSE35">
    <vt:lpwstr>ועדות התכנון והבניה </vt:lpwstr>
  </property>
  <property fmtid="{D5CDD505-2E9C-101B-9397-08002B2CF9AE}" pid="54" name="NOSE16">
    <vt:lpwstr>תכנון ובנייה</vt:lpwstr>
  </property>
  <property fmtid="{D5CDD505-2E9C-101B-9397-08002B2CF9AE}" pid="55" name="NOSE26">
    <vt:lpwstr>ועדות התכנון והבנייה</vt:lpwstr>
  </property>
  <property fmtid="{D5CDD505-2E9C-101B-9397-08002B2CF9AE}" pid="56" name="NOSE36">
    <vt:lpwstr>התערבות בית-המשפט</vt:lpwstr>
  </property>
  <property fmtid="{D5CDD505-2E9C-101B-9397-08002B2CF9AE}" pid="57" name="NOSE17">
    <vt:lpwstr>תכנון ובנייה</vt:lpwstr>
  </property>
  <property fmtid="{D5CDD505-2E9C-101B-9397-08002B2CF9AE}" pid="58" name="NOSE27">
    <vt:lpwstr>ועדות התכנון והבנייה</vt:lpwstr>
  </property>
  <property fmtid="{D5CDD505-2E9C-101B-9397-08002B2CF9AE}" pid="59" name="NOSE37">
    <vt:lpwstr>שיקוליהן</vt:lpwstr>
  </property>
  <property fmtid="{D5CDD505-2E9C-101B-9397-08002B2CF9AE}" pid="60" name="NOSE18">
    <vt:lpwstr>תכנון ובנייה</vt:lpwstr>
  </property>
  <property fmtid="{D5CDD505-2E9C-101B-9397-08002B2CF9AE}" pid="61" name="NOSE28">
    <vt:lpwstr>ועדות התכנון והבנייה</vt:lpwstr>
  </property>
  <property fmtid="{D5CDD505-2E9C-101B-9397-08002B2CF9AE}" pid="62" name="NOSE38">
    <vt:lpwstr>סמכויותיהן</vt:lpwstr>
  </property>
  <property fmtid="{D5CDD505-2E9C-101B-9397-08002B2CF9AE}" pid="63" name="NOSE19">
    <vt:lpwstr/>
  </property>
  <property fmtid="{D5CDD505-2E9C-101B-9397-08002B2CF9AE}" pid="64" name="NOSE29">
    <vt:lpwstr/>
  </property>
  <property fmtid="{D5CDD505-2E9C-101B-9397-08002B2CF9AE}" pid="65" name="NOSE39">
    <vt:lpwstr/>
  </property>
  <property fmtid="{D5CDD505-2E9C-101B-9397-08002B2CF9AE}" pid="66" name="NOSE110">
    <vt:lpwstr/>
  </property>
  <property fmtid="{D5CDD505-2E9C-101B-9397-08002B2CF9AE}" pid="67" name="NOSE210">
    <vt:lpwstr/>
  </property>
  <property fmtid="{D5CDD505-2E9C-101B-9397-08002B2CF9AE}" pid="68" name="NOSE310">
    <vt:lpwstr/>
  </property>
  <property fmtid="{D5CDD505-2E9C-101B-9397-08002B2CF9AE}" pid="69" name="PadiDate">
    <vt:lpwstr>20130606</vt:lpwstr>
  </property>
</Properties>
</file>