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000"/>
      </w:tblPr>
      <w:tblGrid>
        <w:gridCol w:w="5047"/>
        <w:gridCol w:w="3674"/>
      </w:tblGrid>
      <w:tr w:rsidR="00BF54A0" w:rsidRPr="00184FB5">
        <w:trPr>
          <w:trHeight w:hRule="exact" w:val="418"/>
          <w:jc w:val="center"/>
        </w:trPr>
        <w:tc>
          <w:tcPr>
            <w:tcW w:w="8721" w:type="dxa"/>
            <w:gridSpan w:val="2"/>
          </w:tcPr>
          <w:p w:rsidR="00BF54A0" w:rsidRPr="00184FB5" w:rsidRDefault="00184FB5">
            <w:pPr>
              <w:pStyle w:val="a3"/>
              <w:jc w:val="center"/>
              <w:rPr>
                <w:rFonts w:ascii="Tahoma" w:hAnsi="Tahoma" w:cs="Tahoma"/>
                <w:noProof w:val="0"/>
                <w:color w:val="000080"/>
                <w:rtl/>
              </w:rPr>
            </w:pPr>
            <w:r w:rsidRPr="00184FB5">
              <w:rPr>
                <w:rFonts w:ascii="Tahoma" w:hAnsi="Tahoma" w:cs="Tahoma"/>
                <w:b/>
                <w:bCs/>
                <w:noProof w:val="0"/>
                <w:color w:val="000080"/>
                <w:rtl/>
              </w:rPr>
              <w:t>בית המשפט המחוזי מרכז</w:t>
            </w:r>
          </w:p>
        </w:tc>
      </w:tr>
      <w:tr w:rsidR="00BF54A0" w:rsidRPr="00184FB5">
        <w:trPr>
          <w:trHeight w:val="337"/>
          <w:jc w:val="center"/>
        </w:trPr>
        <w:tc>
          <w:tcPr>
            <w:tcW w:w="5047" w:type="dxa"/>
          </w:tcPr>
          <w:p w:rsidR="00BF54A0" w:rsidRPr="00184FB5" w:rsidRDefault="00BF54A0">
            <w:pPr>
              <w:rPr>
                <w:b/>
                <w:bCs/>
                <w:noProof w:val="0"/>
                <w:sz w:val="26"/>
                <w:szCs w:val="26"/>
                <w:rtl/>
              </w:rPr>
            </w:pPr>
          </w:p>
        </w:tc>
        <w:tc>
          <w:tcPr>
            <w:tcW w:w="3674" w:type="dxa"/>
          </w:tcPr>
          <w:p w:rsidR="00BF54A0" w:rsidRPr="00184FB5" w:rsidRDefault="00184FB5">
            <w:pPr>
              <w:pStyle w:val="a3"/>
              <w:jc w:val="right"/>
              <w:rPr>
                <w:b/>
                <w:bCs/>
                <w:noProof w:val="0"/>
                <w:sz w:val="26"/>
                <w:szCs w:val="26"/>
                <w:rtl/>
              </w:rPr>
            </w:pPr>
            <w:r w:rsidRPr="00184FB5">
              <w:rPr>
                <w:b/>
                <w:bCs/>
                <w:noProof w:val="0"/>
                <w:sz w:val="26"/>
                <w:szCs w:val="26"/>
                <w:rtl/>
              </w:rPr>
              <w:t>24 נובמבר 2011</w:t>
            </w:r>
          </w:p>
        </w:tc>
      </w:tr>
      <w:tr w:rsidR="00BF54A0" w:rsidRPr="00184FB5">
        <w:trPr>
          <w:trHeight w:val="337"/>
          <w:jc w:val="center"/>
        </w:trPr>
        <w:tc>
          <w:tcPr>
            <w:tcW w:w="8721" w:type="dxa"/>
            <w:gridSpan w:val="2"/>
          </w:tcPr>
          <w:p w:rsidR="00BF54A0" w:rsidRPr="00184FB5" w:rsidRDefault="00184FB5">
            <w:pPr>
              <w:rPr>
                <w:b/>
                <w:bCs/>
                <w:noProof w:val="0"/>
                <w:sz w:val="26"/>
                <w:szCs w:val="26"/>
                <w:rtl/>
              </w:rPr>
            </w:pPr>
            <w:r w:rsidRPr="00184FB5">
              <w:rPr>
                <w:b/>
                <w:bCs/>
                <w:noProof w:val="0"/>
                <w:sz w:val="26"/>
                <w:szCs w:val="26"/>
                <w:rtl/>
              </w:rPr>
              <w:t>ע"א 8492-02-11 עורקים נדל"ן והשקעות בע"מ נ' שחם הנדסה בע"מ</w:t>
            </w:r>
          </w:p>
          <w:p w:rsidR="00BF54A0" w:rsidRPr="00184FB5" w:rsidRDefault="00BF54A0">
            <w:pPr>
              <w:rPr>
                <w:rtl/>
              </w:rPr>
            </w:pPr>
          </w:p>
        </w:tc>
      </w:tr>
    </w:tbl>
    <w:p w:rsidR="00BF54A0" w:rsidRPr="00184FB5" w:rsidRDefault="00184FB5">
      <w:pPr>
        <w:pStyle w:val="a3"/>
        <w:rPr>
          <w:noProof w:val="0"/>
          <w:rtl/>
        </w:rPr>
      </w:pPr>
      <w:r w:rsidRPr="00184FB5">
        <w:rPr>
          <w:noProof w:val="0"/>
          <w:rtl/>
        </w:rPr>
        <w:t xml:space="preserve"> </w:t>
      </w:r>
    </w:p>
    <w:p w:rsidR="00BF54A0" w:rsidRPr="00184FB5" w:rsidRDefault="00BF54A0">
      <w:pPr>
        <w:rPr>
          <w:rtl/>
        </w:rPr>
      </w:pPr>
    </w:p>
    <w:tbl>
      <w:tblPr>
        <w:tblStyle w:val="a5"/>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49"/>
        <w:gridCol w:w="1800"/>
        <w:gridCol w:w="3771"/>
      </w:tblGrid>
      <w:tr w:rsidR="00BF54A0" w:rsidRPr="00184FB5">
        <w:trPr>
          <w:gridAfter w:val="1"/>
          <w:wAfter w:w="3771" w:type="dxa"/>
          <w:trHeight w:val="295"/>
          <w:jc w:val="center"/>
        </w:trPr>
        <w:tc>
          <w:tcPr>
            <w:tcW w:w="5049" w:type="dxa"/>
            <w:gridSpan w:val="2"/>
          </w:tcPr>
          <w:p w:rsidR="00BF54A0" w:rsidRPr="00184FB5" w:rsidRDefault="00BF54A0">
            <w:pPr>
              <w:rPr>
                <w:rFonts w:ascii="Arial" w:hAnsi="Arial"/>
                <w:b/>
                <w:bCs/>
                <w:noProof w:val="0"/>
                <w:sz w:val="26"/>
                <w:szCs w:val="26"/>
                <w:rtl/>
              </w:rPr>
            </w:pPr>
          </w:p>
        </w:tc>
      </w:tr>
      <w:tr w:rsidR="00BF54A0" w:rsidRPr="00184FB5">
        <w:trPr>
          <w:jc w:val="center"/>
        </w:trPr>
        <w:tc>
          <w:tcPr>
            <w:tcW w:w="8820" w:type="dxa"/>
            <w:gridSpan w:val="3"/>
          </w:tcPr>
          <w:p w:rsidR="00BF54A0" w:rsidRPr="00184FB5" w:rsidRDefault="00184FB5">
            <w:pPr>
              <w:rPr>
                <w:rFonts w:ascii="Arial" w:hAnsi="Arial"/>
                <w:b/>
                <w:bCs/>
                <w:rtl/>
              </w:rPr>
            </w:pPr>
            <w:r w:rsidRPr="00184FB5">
              <w:rPr>
                <w:rFonts w:ascii="Arial" w:hAnsi="Arial" w:hint="cs"/>
                <w:b/>
                <w:bCs/>
                <w:rtl/>
              </w:rPr>
              <w:t>ל</w:t>
            </w:r>
            <w:r w:rsidRPr="00184FB5">
              <w:rPr>
                <w:rFonts w:ascii="Arial" w:hAnsi="Arial"/>
                <w:b/>
                <w:bCs/>
                <w:rtl/>
              </w:rPr>
              <w:t>פני</w:t>
            </w:r>
            <w:r w:rsidRPr="00184FB5">
              <w:rPr>
                <w:rFonts w:ascii="Arial" w:hAnsi="Arial" w:hint="cs"/>
                <w:b/>
                <w:bCs/>
                <w:rtl/>
              </w:rPr>
              <w:t xml:space="preserve">: </w:t>
            </w:r>
          </w:p>
          <w:p w:rsidR="00BF54A0" w:rsidRPr="00184FB5" w:rsidRDefault="00184FB5">
            <w:pPr>
              <w:rPr>
                <w:b/>
                <w:bCs/>
                <w:sz w:val="26"/>
                <w:szCs w:val="26"/>
                <w:rtl/>
              </w:rPr>
            </w:pPr>
            <w:r w:rsidRPr="00184FB5">
              <w:rPr>
                <w:rFonts w:hint="cs"/>
                <w:b/>
                <w:bCs/>
                <w:sz w:val="26"/>
                <w:szCs w:val="26"/>
                <w:rtl/>
              </w:rPr>
              <w:t>כב' השופט אילן ש' שילה, סג"נ - אב"ד</w:t>
            </w:r>
          </w:p>
          <w:p w:rsidR="00BF54A0" w:rsidRPr="00184FB5" w:rsidRDefault="00184FB5">
            <w:pPr>
              <w:rPr>
                <w:b/>
                <w:bCs/>
                <w:sz w:val="26"/>
                <w:szCs w:val="26"/>
                <w:rtl/>
              </w:rPr>
            </w:pPr>
            <w:r w:rsidRPr="00184FB5">
              <w:rPr>
                <w:rFonts w:hint="cs"/>
                <w:b/>
                <w:bCs/>
                <w:sz w:val="26"/>
                <w:szCs w:val="26"/>
                <w:rtl/>
              </w:rPr>
              <w:t>כב' השופטת מיכל נד"ב</w:t>
            </w:r>
          </w:p>
          <w:p w:rsidR="00BF54A0" w:rsidRPr="00184FB5" w:rsidRDefault="00184FB5">
            <w:pPr>
              <w:rPr>
                <w:b/>
                <w:bCs/>
                <w:sz w:val="26"/>
                <w:szCs w:val="26"/>
              </w:rPr>
            </w:pPr>
            <w:r w:rsidRPr="00184FB5">
              <w:rPr>
                <w:rFonts w:hint="cs"/>
                <w:b/>
                <w:bCs/>
                <w:sz w:val="26"/>
                <w:szCs w:val="26"/>
                <w:rtl/>
              </w:rPr>
              <w:t xml:space="preserve">כב' השופט צבי דותן </w:t>
            </w:r>
          </w:p>
        </w:tc>
      </w:tr>
      <w:tr w:rsidR="00BF54A0" w:rsidRPr="00184FB5">
        <w:trPr>
          <w:jc w:val="center"/>
        </w:trPr>
        <w:tc>
          <w:tcPr>
            <w:tcW w:w="3249" w:type="dxa"/>
          </w:tcPr>
          <w:p w:rsidR="00BF54A0" w:rsidRPr="00184FB5" w:rsidRDefault="00184FB5">
            <w:pPr>
              <w:rPr>
                <w:rFonts w:ascii="Arial" w:hAnsi="Arial"/>
                <w:b/>
                <w:bCs/>
                <w:noProof w:val="0"/>
                <w:sz w:val="26"/>
                <w:szCs w:val="26"/>
                <w:rtl/>
              </w:rPr>
            </w:pPr>
            <w:bookmarkStart w:id="0" w:name="FirstAppellant"/>
            <w:bookmarkStart w:id="1" w:name="FirstLawyer"/>
            <w:bookmarkStart w:id="2" w:name="LastJudge"/>
            <w:bookmarkEnd w:id="2"/>
            <w:r w:rsidRPr="00184FB5">
              <w:rPr>
                <w:rFonts w:ascii="Arial" w:hAnsi="Arial" w:hint="cs"/>
                <w:b/>
                <w:bCs/>
                <w:noProof w:val="0"/>
                <w:sz w:val="26"/>
                <w:szCs w:val="26"/>
                <w:rtl/>
              </w:rPr>
              <w:t>המערערת</w:t>
            </w:r>
          </w:p>
        </w:tc>
        <w:tc>
          <w:tcPr>
            <w:tcW w:w="5571" w:type="dxa"/>
            <w:gridSpan w:val="2"/>
          </w:tcPr>
          <w:p w:rsidR="00BF54A0" w:rsidRPr="00184FB5" w:rsidRDefault="00184FB5">
            <w:pPr>
              <w:rPr>
                <w:rFonts w:ascii="Arial" w:hAnsi="Arial"/>
                <w:b/>
                <w:bCs/>
                <w:noProof w:val="0"/>
                <w:sz w:val="26"/>
                <w:szCs w:val="26"/>
                <w:rtl/>
              </w:rPr>
            </w:pPr>
            <w:r w:rsidRPr="00184FB5">
              <w:rPr>
                <w:rFonts w:ascii="Arial" w:hAnsi="Arial"/>
                <w:b/>
                <w:bCs/>
                <w:noProof w:val="0"/>
                <w:sz w:val="26"/>
                <w:szCs w:val="26"/>
                <w:rtl/>
              </w:rPr>
              <w:t>עורקים נדל"ן והשקעות בע"מ</w:t>
            </w:r>
          </w:p>
          <w:p w:rsidR="00BF54A0" w:rsidRPr="00184FB5" w:rsidRDefault="00184FB5">
            <w:pPr>
              <w:rPr>
                <w:b/>
                <w:bCs/>
                <w:noProof w:val="0"/>
                <w:sz w:val="26"/>
                <w:szCs w:val="26"/>
              </w:rPr>
            </w:pPr>
            <w:r w:rsidRPr="00184FB5">
              <w:rPr>
                <w:rFonts w:ascii="Arial" w:hAnsi="Arial" w:hint="cs"/>
                <w:noProof w:val="0"/>
                <w:rtl/>
              </w:rPr>
              <w:t xml:space="preserve">באמצעות ב"כ עו"ד שי גבסי ועו"ד הראל דהן </w:t>
            </w:r>
          </w:p>
        </w:tc>
      </w:tr>
      <w:bookmarkEnd w:id="0"/>
      <w:bookmarkEnd w:id="1"/>
      <w:tr w:rsidR="00BF54A0" w:rsidRPr="00184FB5">
        <w:trPr>
          <w:jc w:val="center"/>
        </w:trPr>
        <w:tc>
          <w:tcPr>
            <w:tcW w:w="8820" w:type="dxa"/>
            <w:gridSpan w:val="3"/>
          </w:tcPr>
          <w:p w:rsidR="00BF54A0" w:rsidRPr="00184FB5" w:rsidRDefault="00BF54A0">
            <w:pPr>
              <w:rPr>
                <w:rFonts w:ascii="Arial" w:hAnsi="Arial"/>
                <w:b/>
                <w:bCs/>
                <w:noProof w:val="0"/>
                <w:sz w:val="26"/>
                <w:szCs w:val="26"/>
                <w:rtl/>
              </w:rPr>
            </w:pPr>
          </w:p>
          <w:p w:rsidR="00BF54A0" w:rsidRPr="00184FB5" w:rsidRDefault="00184FB5">
            <w:pPr>
              <w:jc w:val="center"/>
              <w:rPr>
                <w:rFonts w:ascii="Arial" w:hAnsi="Arial"/>
                <w:b/>
                <w:bCs/>
                <w:noProof w:val="0"/>
                <w:sz w:val="26"/>
                <w:szCs w:val="26"/>
                <w:rtl/>
              </w:rPr>
            </w:pPr>
            <w:r w:rsidRPr="00184FB5">
              <w:rPr>
                <w:rFonts w:ascii="Arial" w:hAnsi="Arial"/>
                <w:b/>
                <w:bCs/>
                <w:noProof w:val="0"/>
                <w:sz w:val="26"/>
                <w:szCs w:val="26"/>
                <w:rtl/>
              </w:rPr>
              <w:t>נגד</w:t>
            </w:r>
          </w:p>
          <w:p w:rsidR="00BF54A0" w:rsidRPr="00184FB5" w:rsidRDefault="00BF54A0">
            <w:pPr>
              <w:rPr>
                <w:rFonts w:ascii="Arial" w:hAnsi="Arial"/>
                <w:b/>
                <w:bCs/>
                <w:noProof w:val="0"/>
                <w:sz w:val="26"/>
                <w:szCs w:val="26"/>
              </w:rPr>
            </w:pPr>
          </w:p>
        </w:tc>
      </w:tr>
      <w:tr w:rsidR="00BF54A0" w:rsidRPr="00184FB5">
        <w:trPr>
          <w:jc w:val="center"/>
        </w:trPr>
        <w:tc>
          <w:tcPr>
            <w:tcW w:w="3249" w:type="dxa"/>
          </w:tcPr>
          <w:p w:rsidR="00BF54A0" w:rsidRPr="00184FB5" w:rsidRDefault="00184FB5">
            <w:pPr>
              <w:rPr>
                <w:rFonts w:ascii="Arial" w:hAnsi="Arial"/>
                <w:b/>
                <w:bCs/>
                <w:noProof w:val="0"/>
                <w:sz w:val="26"/>
                <w:szCs w:val="26"/>
                <w:rtl/>
              </w:rPr>
            </w:pPr>
            <w:r w:rsidRPr="00184FB5">
              <w:rPr>
                <w:rFonts w:ascii="Arial" w:hAnsi="Arial" w:hint="cs"/>
                <w:b/>
                <w:bCs/>
                <w:noProof w:val="0"/>
                <w:sz w:val="26"/>
                <w:szCs w:val="26"/>
                <w:rtl/>
              </w:rPr>
              <w:t>ה</w:t>
            </w:r>
            <w:r w:rsidRPr="00184FB5">
              <w:rPr>
                <w:rFonts w:ascii="Arial" w:hAnsi="Arial"/>
                <w:b/>
                <w:bCs/>
                <w:noProof w:val="0"/>
                <w:sz w:val="26"/>
                <w:szCs w:val="26"/>
                <w:rtl/>
              </w:rPr>
              <w:t>משיב</w:t>
            </w:r>
            <w:r w:rsidRPr="00184FB5">
              <w:rPr>
                <w:rFonts w:ascii="Arial" w:hAnsi="Arial" w:hint="cs"/>
                <w:b/>
                <w:bCs/>
                <w:noProof w:val="0"/>
                <w:sz w:val="26"/>
                <w:szCs w:val="26"/>
                <w:rtl/>
              </w:rPr>
              <w:t>ים</w:t>
            </w:r>
          </w:p>
          <w:p w:rsidR="00BF54A0" w:rsidRPr="00184FB5" w:rsidRDefault="00BF54A0">
            <w:pPr>
              <w:rPr>
                <w:rFonts w:ascii="Arial" w:hAnsi="Arial"/>
                <w:b/>
                <w:bCs/>
                <w:noProof w:val="0"/>
                <w:sz w:val="26"/>
                <w:szCs w:val="26"/>
              </w:rPr>
            </w:pPr>
          </w:p>
        </w:tc>
        <w:tc>
          <w:tcPr>
            <w:tcW w:w="5571" w:type="dxa"/>
            <w:gridSpan w:val="2"/>
          </w:tcPr>
          <w:p w:rsidR="00BF54A0" w:rsidRPr="00184FB5" w:rsidRDefault="00184FB5">
            <w:pPr>
              <w:rPr>
                <w:rFonts w:ascii="Arial" w:hAnsi="Arial"/>
                <w:b/>
                <w:bCs/>
                <w:noProof w:val="0"/>
                <w:sz w:val="26"/>
                <w:szCs w:val="26"/>
                <w:rtl/>
              </w:rPr>
            </w:pPr>
            <w:r w:rsidRPr="00184FB5">
              <w:rPr>
                <w:rFonts w:ascii="Arial" w:hAnsi="Arial" w:hint="cs"/>
                <w:b/>
                <w:bCs/>
                <w:noProof w:val="0"/>
                <w:sz w:val="26"/>
                <w:szCs w:val="26"/>
                <w:rtl/>
              </w:rPr>
              <w:t xml:space="preserve">1. </w:t>
            </w:r>
            <w:r w:rsidRPr="00184FB5">
              <w:rPr>
                <w:rFonts w:ascii="Arial" w:hAnsi="Arial"/>
                <w:b/>
                <w:bCs/>
                <w:noProof w:val="0"/>
                <w:sz w:val="26"/>
                <w:szCs w:val="26"/>
                <w:rtl/>
              </w:rPr>
              <w:t>שחם הנדסה בע"מ</w:t>
            </w:r>
          </w:p>
          <w:p w:rsidR="00BF54A0" w:rsidRPr="00184FB5" w:rsidRDefault="00184FB5">
            <w:pPr>
              <w:rPr>
                <w:rFonts w:ascii="Arial" w:hAnsi="Arial"/>
                <w:b/>
                <w:bCs/>
                <w:noProof w:val="0"/>
                <w:sz w:val="26"/>
                <w:szCs w:val="26"/>
                <w:rtl/>
              </w:rPr>
            </w:pPr>
            <w:r w:rsidRPr="00184FB5">
              <w:rPr>
                <w:rFonts w:ascii="Arial" w:hAnsi="Arial" w:hint="cs"/>
                <w:b/>
                <w:bCs/>
                <w:noProof w:val="0"/>
                <w:sz w:val="26"/>
                <w:szCs w:val="26"/>
                <w:rtl/>
              </w:rPr>
              <w:t>2. יצחק מאירזדה</w:t>
            </w:r>
          </w:p>
          <w:p w:rsidR="00BF54A0" w:rsidRPr="00184FB5" w:rsidRDefault="00184FB5">
            <w:pPr>
              <w:rPr>
                <w:b/>
                <w:bCs/>
                <w:noProof w:val="0"/>
                <w:sz w:val="26"/>
                <w:szCs w:val="26"/>
                <w:rtl/>
              </w:rPr>
            </w:pPr>
            <w:r w:rsidRPr="00184FB5">
              <w:rPr>
                <w:rFonts w:ascii="Arial" w:hAnsi="Arial" w:hint="cs"/>
                <w:noProof w:val="0"/>
                <w:rtl/>
              </w:rPr>
              <w:t xml:space="preserve">באמצעות ב"כ עו"ד אסף מרקס וחיים כהן </w:t>
            </w:r>
          </w:p>
        </w:tc>
      </w:tr>
    </w:tbl>
    <w:p w:rsidR="00BF54A0" w:rsidRPr="00184FB5" w:rsidRDefault="00BF54A0"/>
    <w:p w:rsidR="00BF54A0" w:rsidRPr="00184FB5" w:rsidRDefault="00BF54A0"/>
    <w:tbl>
      <w:tblPr>
        <w:tblStyle w:val="a5"/>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0"/>
      </w:tblGrid>
      <w:tr w:rsidR="00BF54A0">
        <w:trPr>
          <w:jc w:val="center"/>
        </w:trPr>
        <w:tc>
          <w:tcPr>
            <w:tcW w:w="8820" w:type="dxa"/>
          </w:tcPr>
          <w:p w:rsidR="00184FB5" w:rsidRPr="00184FB5" w:rsidRDefault="00184FB5" w:rsidP="00184FB5">
            <w:pPr>
              <w:bidi w:val="0"/>
              <w:jc w:val="center"/>
              <w:rPr>
                <w:rFonts w:ascii="Arial" w:hAnsi="Arial"/>
                <w:b/>
                <w:bCs/>
                <w:noProof w:val="0"/>
                <w:sz w:val="28"/>
                <w:szCs w:val="28"/>
                <w:u w:val="single"/>
                <w:rtl/>
              </w:rPr>
            </w:pPr>
            <w:bookmarkStart w:id="3" w:name="PsakDin" w:colFirst="0" w:colLast="0"/>
            <w:r w:rsidRPr="00184FB5">
              <w:rPr>
                <w:rFonts w:ascii="Arial" w:hAnsi="Arial"/>
                <w:b/>
                <w:bCs/>
                <w:noProof w:val="0"/>
                <w:sz w:val="28"/>
                <w:szCs w:val="28"/>
                <w:u w:val="single"/>
                <w:rtl/>
              </w:rPr>
              <w:t>פסק דין</w:t>
            </w:r>
          </w:p>
          <w:p w:rsidR="00BF54A0" w:rsidRPr="00184FB5" w:rsidRDefault="00BF54A0" w:rsidP="00184FB5">
            <w:pPr>
              <w:bidi w:val="0"/>
              <w:jc w:val="center"/>
              <w:rPr>
                <w:rFonts w:ascii="Arial" w:hAnsi="Arial"/>
                <w:b/>
                <w:bCs/>
                <w:noProof w:val="0"/>
                <w:sz w:val="28"/>
                <w:szCs w:val="28"/>
                <w:u w:val="single"/>
              </w:rPr>
            </w:pPr>
          </w:p>
        </w:tc>
      </w:tr>
      <w:bookmarkEnd w:id="3"/>
    </w:tbl>
    <w:p w:rsidR="00BF54A0" w:rsidRDefault="00BF54A0">
      <w:pPr>
        <w:spacing w:line="360" w:lineRule="auto"/>
        <w:jc w:val="both"/>
        <w:rPr>
          <w:rFonts w:ascii="Arial" w:hAnsi="Arial"/>
          <w:noProof w:val="0"/>
          <w:rtl/>
        </w:rPr>
      </w:pPr>
    </w:p>
    <w:p w:rsidR="00BF54A0" w:rsidRDefault="00184FB5">
      <w:pPr>
        <w:spacing w:line="360" w:lineRule="auto"/>
        <w:jc w:val="both"/>
      </w:pPr>
      <w:bookmarkStart w:id="4" w:name="ABSTRACT_START"/>
      <w:bookmarkEnd w:id="4"/>
      <w:r>
        <w:rPr>
          <w:rFonts w:hint="cs"/>
          <w:rtl/>
        </w:rPr>
        <w:t>ערעור על פסק דינו של בית משפט השלום בכפר סבא (כב' השופטת מ' בן-ארי) מיום 15.12.11 (</w:t>
      </w:r>
      <w:hyperlink r:id="rId6" w:history="1">
        <w:r w:rsidRPr="00184FB5">
          <w:rPr>
            <w:color w:val="0000FF"/>
            <w:u w:val="single"/>
            <w:rtl/>
          </w:rPr>
          <w:t>ת"א 4930/05</w:t>
        </w:r>
      </w:hyperlink>
      <w:r>
        <w:rPr>
          <w:rFonts w:hint="cs"/>
          <w:rtl/>
        </w:rPr>
        <w:t xml:space="preserve"> ו</w:t>
      </w:r>
      <w:hyperlink r:id="rId7" w:history="1">
        <w:r w:rsidRPr="00184FB5">
          <w:rPr>
            <w:color w:val="0000FF"/>
            <w:u w:val="single"/>
            <w:rtl/>
          </w:rPr>
          <w:t>ת"א 4214/06</w:t>
        </w:r>
      </w:hyperlink>
      <w:r>
        <w:rPr>
          <w:rFonts w:hint="cs"/>
          <w:rtl/>
        </w:rPr>
        <w:t>) שבו דחה בית המשפט תביעה שהגישה המערערת נגד המשיבים וקיבל תביעה שהגישה המשיבה נגד המערערת. בית המשפט חייב את המערערת לשלם למשיבה סכום של 152,215 ₪ (בצירוף ריבית והפרשי הצמדה מיום 7.12.05) על פי תביעת המשיבה. כמו כן חייב את המערערת לשלם למשיבה את הוצאותיה ושכ"ט עו"ד בסך 35,000 ₪ בגין קבלת תביעת המשיבה, וסכום נוסף של 60,000 ₪ בגין שכ"ט עו"ד בקשר עם דחיית תביעתה של המערערת.</w:t>
      </w:r>
    </w:p>
    <w:p w:rsidR="00BF54A0" w:rsidRDefault="00BF54A0">
      <w:pPr>
        <w:spacing w:line="360" w:lineRule="auto"/>
        <w:jc w:val="both"/>
        <w:rPr>
          <w:rtl/>
        </w:rPr>
      </w:pPr>
    </w:p>
    <w:p w:rsidR="00BF54A0" w:rsidRDefault="00184FB5">
      <w:pPr>
        <w:spacing w:line="360" w:lineRule="auto"/>
        <w:jc w:val="both"/>
        <w:rPr>
          <w:rtl/>
        </w:rPr>
      </w:pPr>
      <w:bookmarkStart w:id="5" w:name="ABSTRACT_END"/>
      <w:bookmarkEnd w:id="5"/>
      <w:r>
        <w:rPr>
          <w:rFonts w:hint="cs"/>
          <w:rtl/>
        </w:rPr>
        <w:t xml:space="preserve">לקראת תום הדיון בערעור ביקש ב"כ המערערת לטעון נגד פסיקת ההוצאות שפסק בית משפט קמא ולשאלתנו אם הוא מצמצם את הערעור לשאלה זו הודיע שאכן כך. בנסיבות אלו השאלה היחידה שבערעור היא אם צו ההוצאות שנתן בית משפט קמא היה ראוי או שמא היה מקום לקבוע סכום נמוך מזה שנפסק. </w:t>
      </w:r>
    </w:p>
    <w:p w:rsidR="00BF54A0" w:rsidRDefault="00BF54A0">
      <w:pPr>
        <w:spacing w:line="360" w:lineRule="auto"/>
        <w:jc w:val="both"/>
        <w:rPr>
          <w:rtl/>
        </w:rPr>
      </w:pPr>
    </w:p>
    <w:p w:rsidR="00BF54A0" w:rsidRDefault="00184FB5">
      <w:pPr>
        <w:spacing w:line="360" w:lineRule="auto"/>
        <w:jc w:val="both"/>
        <w:rPr>
          <w:rtl/>
        </w:rPr>
      </w:pPr>
      <w:r>
        <w:rPr>
          <w:rFonts w:hint="cs"/>
          <w:rtl/>
        </w:rPr>
        <w:t xml:space="preserve">עיקר טענת המערערת היא שבית המשפט פסק שני סכומי שכר טרחה האחד בגין קבלת תביעת המשיבה והאחר בגין דחיית תביעת המערערת, בעוד שלמעשה נוהלו שתי התביעות כתביעה אחת והתוצאה של דחיית תביעת המערערת נובעת מאליה מקבלת תביעת המשיבה. </w:t>
      </w:r>
    </w:p>
    <w:p w:rsidR="00BF54A0" w:rsidRDefault="00BF54A0">
      <w:pPr>
        <w:spacing w:line="360" w:lineRule="auto"/>
        <w:jc w:val="both"/>
        <w:rPr>
          <w:rtl/>
        </w:rPr>
      </w:pPr>
    </w:p>
    <w:p w:rsidR="00BF54A0" w:rsidRDefault="00184FB5">
      <w:pPr>
        <w:spacing w:line="360" w:lineRule="auto"/>
        <w:jc w:val="both"/>
        <w:rPr>
          <w:rtl/>
        </w:rPr>
      </w:pPr>
      <w:r>
        <w:rPr>
          <w:rFonts w:hint="cs"/>
          <w:rtl/>
        </w:rPr>
        <w:t xml:space="preserve">המשיבה טוענת כי שכר הטרחה ראוי גם נוכח העובדה שהמערערת תבעה גם את המשיב 2 באופן אישי לצורך הפעלת לחץ.  </w:t>
      </w:r>
    </w:p>
    <w:p w:rsidR="00BF54A0" w:rsidRDefault="00BF54A0">
      <w:pPr>
        <w:spacing w:line="360" w:lineRule="auto"/>
        <w:jc w:val="both"/>
        <w:rPr>
          <w:rtl/>
        </w:rPr>
      </w:pPr>
    </w:p>
    <w:p w:rsidR="00BF54A0" w:rsidRDefault="00184FB5">
      <w:pPr>
        <w:spacing w:line="360" w:lineRule="auto"/>
        <w:jc w:val="both"/>
        <w:rPr>
          <w:rtl/>
        </w:rPr>
      </w:pPr>
      <w:r>
        <w:rPr>
          <w:rFonts w:hint="cs"/>
          <w:rtl/>
        </w:rPr>
        <w:lastRenderedPageBreak/>
        <w:t xml:space="preserve">אנו סבורים שאין מקום להתערב בצו ההוצאות שנתן בית משפט קמא. </w:t>
      </w:r>
    </w:p>
    <w:p w:rsidR="00BF54A0" w:rsidRDefault="00BF54A0">
      <w:pPr>
        <w:spacing w:line="360" w:lineRule="auto"/>
        <w:jc w:val="both"/>
        <w:rPr>
          <w:rtl/>
        </w:rPr>
      </w:pPr>
    </w:p>
    <w:p w:rsidR="00BF54A0" w:rsidRDefault="00184FB5">
      <w:pPr>
        <w:spacing w:line="360" w:lineRule="auto"/>
        <w:jc w:val="both"/>
        <w:rPr>
          <w:rtl/>
        </w:rPr>
      </w:pPr>
      <w:r>
        <w:rPr>
          <w:rFonts w:hint="cs"/>
          <w:rtl/>
        </w:rPr>
        <w:t xml:space="preserve">בית המשפט חייב את המערערת בגין קבלת תביעת המשיבה בסכום שהוא כ- 20 אחוזים מסכום פסק הדין, שיעור המקובל לפסיקת שכר טרחה במקרה מעין זה. באשר לתביעת המערערת: המדובר בסכום שכר טרחה המהווה 6 אחוזים מסכום התביעה (כפי שהועמד לצורכי האגרה), שאף הוא שיעור מקובל, במיוחד כאשר המערערת הגישה תביעתה גם נגד המשיב 2. </w:t>
      </w:r>
    </w:p>
    <w:p w:rsidR="00BF54A0" w:rsidRDefault="00BF54A0">
      <w:pPr>
        <w:spacing w:line="360" w:lineRule="auto"/>
        <w:jc w:val="both"/>
        <w:rPr>
          <w:rtl/>
        </w:rPr>
      </w:pPr>
    </w:p>
    <w:p w:rsidR="00BF54A0" w:rsidRDefault="00184FB5">
      <w:pPr>
        <w:spacing w:line="360" w:lineRule="auto"/>
        <w:jc w:val="both"/>
        <w:rPr>
          <w:rtl/>
        </w:rPr>
      </w:pPr>
      <w:r>
        <w:rPr>
          <w:rFonts w:hint="cs"/>
          <w:rtl/>
        </w:rPr>
        <w:t xml:space="preserve">יתר על כן, בית המשפט דחה את גירסת המערערת מכול וכול תוך שדחה כבלתי מהימנה את עדותו של מנהל המערערת ופירט אחד לאחד את הנימוקים לדחיית גירסתה הכוללת של המערערת. </w:t>
      </w:r>
    </w:p>
    <w:p w:rsidR="00BF54A0" w:rsidRDefault="00BF54A0">
      <w:pPr>
        <w:spacing w:line="360" w:lineRule="auto"/>
        <w:jc w:val="both"/>
        <w:rPr>
          <w:rtl/>
        </w:rPr>
      </w:pPr>
    </w:p>
    <w:p w:rsidR="00BF54A0" w:rsidRDefault="00184FB5">
      <w:pPr>
        <w:spacing w:line="360" w:lineRule="auto"/>
        <w:jc w:val="both"/>
        <w:rPr>
          <w:rtl/>
        </w:rPr>
      </w:pPr>
      <w:r>
        <w:rPr>
          <w:rFonts w:hint="cs"/>
          <w:rtl/>
        </w:rPr>
        <w:t xml:space="preserve">בנסיבות אלו אין אנו רואים מקום להתערב בשאלת ההוצאות. </w:t>
      </w:r>
    </w:p>
    <w:p w:rsidR="00BF54A0" w:rsidRDefault="00BF54A0">
      <w:pPr>
        <w:spacing w:line="360" w:lineRule="auto"/>
        <w:jc w:val="both"/>
        <w:rPr>
          <w:rtl/>
        </w:rPr>
      </w:pPr>
    </w:p>
    <w:p w:rsidR="00BF54A0" w:rsidRDefault="00184FB5">
      <w:pPr>
        <w:spacing w:line="360" w:lineRule="auto"/>
        <w:jc w:val="both"/>
        <w:rPr>
          <w:rtl/>
        </w:rPr>
      </w:pPr>
      <w:r>
        <w:rPr>
          <w:rFonts w:hint="cs"/>
          <w:rtl/>
        </w:rPr>
        <w:t xml:space="preserve">הערעור נדחה. </w:t>
      </w:r>
    </w:p>
    <w:p w:rsidR="00BF54A0" w:rsidRDefault="00BF54A0">
      <w:pPr>
        <w:spacing w:line="360" w:lineRule="auto"/>
        <w:jc w:val="both"/>
        <w:rPr>
          <w:rtl/>
        </w:rPr>
      </w:pPr>
    </w:p>
    <w:p w:rsidR="00BF54A0" w:rsidRDefault="00184FB5">
      <w:pPr>
        <w:spacing w:line="360" w:lineRule="auto"/>
        <w:jc w:val="both"/>
        <w:rPr>
          <w:rtl/>
        </w:rPr>
      </w:pPr>
      <w:r>
        <w:rPr>
          <w:rFonts w:hint="cs"/>
          <w:rtl/>
        </w:rPr>
        <w:t xml:space="preserve">המערערת תישא בשכר טרחת עו"ד של המשיבים בסכום של 15,000 ₪. </w:t>
      </w:r>
    </w:p>
    <w:p w:rsidR="00BF54A0" w:rsidRDefault="00BF54A0">
      <w:pPr>
        <w:spacing w:line="360" w:lineRule="auto"/>
        <w:jc w:val="both"/>
        <w:rPr>
          <w:rtl/>
        </w:rPr>
      </w:pPr>
    </w:p>
    <w:p w:rsidR="00BF54A0" w:rsidRDefault="00184FB5">
      <w:pPr>
        <w:spacing w:line="360" w:lineRule="auto"/>
        <w:jc w:val="both"/>
        <w:rPr>
          <w:rtl/>
        </w:rPr>
      </w:pPr>
      <w:r>
        <w:rPr>
          <w:rFonts w:hint="cs"/>
          <w:rtl/>
        </w:rPr>
        <w:t xml:space="preserve">המזכירות תעביר את הפיקדון שהפקידה המערערת לידי ב"כ המשיבה. </w:t>
      </w:r>
    </w:p>
    <w:p w:rsidR="00BF54A0" w:rsidRDefault="00BF54A0">
      <w:pPr>
        <w:spacing w:line="360" w:lineRule="auto"/>
        <w:jc w:val="both"/>
        <w:rPr>
          <w:rFonts w:ascii="Arial" w:hAnsi="Arial"/>
          <w:noProof w:val="0"/>
          <w:rtl/>
        </w:rPr>
      </w:pPr>
    </w:p>
    <w:p w:rsidR="00BF54A0" w:rsidRDefault="00184FB5">
      <w:pPr>
        <w:rPr>
          <w:rtl/>
        </w:rPr>
      </w:pPr>
      <w:r>
        <w:rPr>
          <w:rFonts w:ascii="Arial" w:hAnsi="Arial"/>
          <w:noProof w:val="0"/>
          <w:rtl/>
        </w:rPr>
        <w:t xml:space="preserve">ניתן היום,  כ"ז חשון תשע"ב, 24 נובמבר 2011, בהעדר הצדדים. </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34"/>
        <w:gridCol w:w="360"/>
        <w:gridCol w:w="2406"/>
        <w:gridCol w:w="346"/>
        <w:gridCol w:w="2576"/>
      </w:tblGrid>
      <w:tr w:rsidR="00BF54A0">
        <w:tc>
          <w:tcPr>
            <w:tcW w:w="2834" w:type="dxa"/>
            <w:tcBorders>
              <w:bottom w:val="single" w:sz="4" w:space="0" w:color="auto"/>
            </w:tcBorders>
            <w:vAlign w:val="bottom"/>
          </w:tcPr>
          <w:p w:rsidR="00BF54A0" w:rsidRDefault="00BF54A0">
            <w:pPr>
              <w:jc w:val="center"/>
              <w:rPr>
                <w:rFonts w:ascii="Courier New" w:hAnsi="Courier New"/>
                <w:b/>
                <w:bCs/>
                <w:rtl/>
              </w:rPr>
            </w:pPr>
          </w:p>
        </w:tc>
        <w:tc>
          <w:tcPr>
            <w:tcW w:w="360" w:type="dxa"/>
            <w:vAlign w:val="bottom"/>
          </w:tcPr>
          <w:p w:rsidR="00BF54A0" w:rsidRDefault="00BF54A0">
            <w:pPr>
              <w:jc w:val="center"/>
              <w:rPr>
                <w:rFonts w:ascii="Courier New" w:hAnsi="Courier New"/>
                <w:b/>
                <w:bCs/>
                <w:rtl/>
              </w:rPr>
            </w:pPr>
          </w:p>
        </w:tc>
        <w:tc>
          <w:tcPr>
            <w:tcW w:w="2406" w:type="dxa"/>
            <w:tcBorders>
              <w:bottom w:val="single" w:sz="4" w:space="0" w:color="auto"/>
            </w:tcBorders>
            <w:vAlign w:val="bottom"/>
          </w:tcPr>
          <w:p w:rsidR="00BF54A0" w:rsidRDefault="00BF54A0">
            <w:pPr>
              <w:jc w:val="center"/>
              <w:rPr>
                <w:rFonts w:ascii="Courier New" w:hAnsi="Courier New"/>
                <w:b/>
                <w:bCs/>
                <w:rtl/>
              </w:rPr>
            </w:pPr>
          </w:p>
        </w:tc>
        <w:tc>
          <w:tcPr>
            <w:tcW w:w="346" w:type="dxa"/>
            <w:vAlign w:val="bottom"/>
          </w:tcPr>
          <w:p w:rsidR="00BF54A0" w:rsidRDefault="00BF54A0">
            <w:pPr>
              <w:jc w:val="center"/>
              <w:rPr>
                <w:rFonts w:ascii="Courier New" w:hAnsi="Courier New"/>
                <w:b/>
                <w:bCs/>
                <w:rtl/>
              </w:rPr>
            </w:pPr>
          </w:p>
        </w:tc>
        <w:tc>
          <w:tcPr>
            <w:tcW w:w="2576" w:type="dxa"/>
            <w:tcBorders>
              <w:bottom w:val="single" w:sz="4" w:space="0" w:color="auto"/>
            </w:tcBorders>
            <w:vAlign w:val="bottom"/>
          </w:tcPr>
          <w:p w:rsidR="00BF54A0" w:rsidRDefault="00BF54A0">
            <w:pPr>
              <w:jc w:val="center"/>
              <w:rPr>
                <w:rFonts w:ascii="Courier New" w:hAnsi="Courier New"/>
                <w:b/>
                <w:bCs/>
                <w:sz w:val="20"/>
                <w:szCs w:val="20"/>
                <w:rtl/>
              </w:rPr>
            </w:pPr>
          </w:p>
        </w:tc>
      </w:tr>
      <w:tr w:rsidR="00BF54A0">
        <w:tc>
          <w:tcPr>
            <w:tcW w:w="2834" w:type="dxa"/>
            <w:tcBorders>
              <w:top w:val="single" w:sz="4" w:space="0" w:color="auto"/>
            </w:tcBorders>
            <w:vAlign w:val="bottom"/>
          </w:tcPr>
          <w:p w:rsidR="00BF54A0" w:rsidRDefault="00184FB5">
            <w:pPr>
              <w:jc w:val="center"/>
              <w:rPr>
                <w:rFonts w:ascii="Courier New" w:hAnsi="Courier New"/>
                <w:b/>
                <w:bCs/>
                <w:rtl/>
              </w:rPr>
            </w:pPr>
            <w:r>
              <w:rPr>
                <w:rFonts w:ascii="Courier New" w:hAnsi="Courier New" w:hint="cs"/>
                <w:b/>
                <w:bCs/>
                <w:rtl/>
              </w:rPr>
              <w:t xml:space="preserve">אילן ש' שילה , סג"נ </w:t>
            </w:r>
          </w:p>
          <w:p w:rsidR="00BF54A0" w:rsidRDefault="00184FB5">
            <w:pPr>
              <w:jc w:val="center"/>
              <w:rPr>
                <w:rFonts w:ascii="Courier New" w:hAnsi="Courier New"/>
                <w:b/>
                <w:bCs/>
                <w:rtl/>
              </w:rPr>
            </w:pPr>
            <w:r>
              <w:rPr>
                <w:rFonts w:ascii="Courier New" w:hAnsi="Courier New" w:hint="cs"/>
                <w:b/>
                <w:bCs/>
                <w:rtl/>
              </w:rPr>
              <w:t>אב"ד</w:t>
            </w:r>
          </w:p>
        </w:tc>
        <w:tc>
          <w:tcPr>
            <w:tcW w:w="360" w:type="dxa"/>
            <w:vAlign w:val="bottom"/>
          </w:tcPr>
          <w:p w:rsidR="00BF54A0" w:rsidRDefault="00BF54A0">
            <w:pPr>
              <w:jc w:val="center"/>
              <w:rPr>
                <w:rFonts w:ascii="Courier New" w:hAnsi="Courier New"/>
                <w:b/>
                <w:bCs/>
                <w:rtl/>
              </w:rPr>
            </w:pPr>
          </w:p>
        </w:tc>
        <w:tc>
          <w:tcPr>
            <w:tcW w:w="2406" w:type="dxa"/>
            <w:tcBorders>
              <w:top w:val="single" w:sz="4" w:space="0" w:color="auto"/>
            </w:tcBorders>
          </w:tcPr>
          <w:p w:rsidR="00BF54A0" w:rsidRDefault="00184FB5">
            <w:pPr>
              <w:jc w:val="center"/>
              <w:rPr>
                <w:rFonts w:ascii="Courier New" w:hAnsi="Courier New"/>
                <w:b/>
                <w:bCs/>
                <w:rtl/>
              </w:rPr>
            </w:pPr>
            <w:r>
              <w:rPr>
                <w:rFonts w:ascii="Courier New" w:hAnsi="Courier New" w:hint="cs"/>
                <w:b/>
                <w:bCs/>
                <w:rtl/>
              </w:rPr>
              <w:t>מיכל נד"ב, שופטת</w:t>
            </w:r>
          </w:p>
        </w:tc>
        <w:tc>
          <w:tcPr>
            <w:tcW w:w="346" w:type="dxa"/>
          </w:tcPr>
          <w:p w:rsidR="00BF54A0" w:rsidRDefault="00BF54A0">
            <w:pPr>
              <w:jc w:val="center"/>
              <w:rPr>
                <w:rFonts w:ascii="Courier New" w:hAnsi="Courier New"/>
                <w:b/>
                <w:bCs/>
                <w:rtl/>
              </w:rPr>
            </w:pPr>
          </w:p>
        </w:tc>
        <w:tc>
          <w:tcPr>
            <w:tcW w:w="2576" w:type="dxa"/>
            <w:tcBorders>
              <w:top w:val="single" w:sz="4" w:space="0" w:color="auto"/>
            </w:tcBorders>
          </w:tcPr>
          <w:p w:rsidR="00184FB5" w:rsidRDefault="00184FB5">
            <w:pPr>
              <w:jc w:val="center"/>
              <w:rPr>
                <w:rFonts w:ascii="Courier New" w:hAnsi="Courier New"/>
                <w:b/>
                <w:bCs/>
                <w:rtl/>
              </w:rPr>
            </w:pPr>
            <w:r>
              <w:rPr>
                <w:rFonts w:hint="cs"/>
                <w:b/>
                <w:bCs/>
                <w:rtl/>
              </w:rPr>
              <w:t>צבי דותן, שופט</w:t>
            </w:r>
          </w:p>
          <w:p w:rsidR="00184FB5" w:rsidRDefault="00184FB5">
            <w:pPr>
              <w:jc w:val="center"/>
              <w:rPr>
                <w:rFonts w:ascii="Courier New" w:hAnsi="Courier New"/>
                <w:b/>
                <w:bCs/>
                <w:rtl/>
              </w:rPr>
            </w:pPr>
          </w:p>
          <w:p w:rsidR="00BF54A0" w:rsidRDefault="00BF54A0">
            <w:pPr>
              <w:jc w:val="center"/>
              <w:rPr>
                <w:rFonts w:ascii="Courier New" w:hAnsi="Courier New"/>
                <w:b/>
                <w:bCs/>
                <w:rtl/>
              </w:rPr>
            </w:pPr>
          </w:p>
        </w:tc>
      </w:tr>
    </w:tbl>
    <w:p w:rsidR="00184FB5" w:rsidRPr="00184FB5" w:rsidRDefault="00184FB5" w:rsidP="00184FB5">
      <w:pPr>
        <w:keepNext/>
        <w:rPr>
          <w:rFonts w:ascii="David" w:hAnsi="David"/>
          <w:color w:val="000000"/>
          <w:sz w:val="22"/>
          <w:szCs w:val="22"/>
          <w:rtl/>
        </w:rPr>
      </w:pPr>
    </w:p>
    <w:p w:rsidR="00184FB5" w:rsidRPr="00184FB5" w:rsidRDefault="00184FB5" w:rsidP="00184FB5">
      <w:pPr>
        <w:keepNext/>
        <w:rPr>
          <w:rFonts w:ascii="David" w:hAnsi="David"/>
          <w:color w:val="000000"/>
          <w:sz w:val="22"/>
          <w:szCs w:val="22"/>
          <w:rtl/>
        </w:rPr>
      </w:pPr>
      <w:r w:rsidRPr="00184FB5">
        <w:rPr>
          <w:rFonts w:ascii="David" w:hAnsi="David"/>
          <w:color w:val="000000"/>
          <w:sz w:val="22"/>
          <w:szCs w:val="22"/>
          <w:rtl/>
        </w:rPr>
        <w:t>אילן ש' שילה 54678313</w:t>
      </w:r>
    </w:p>
    <w:p w:rsidR="00184FB5" w:rsidRPr="00184FB5" w:rsidRDefault="00184FB5">
      <w:pPr>
        <w:rPr>
          <w:color w:val="FFFFFF"/>
          <w:sz w:val="2"/>
          <w:szCs w:val="2"/>
          <w:rtl/>
        </w:rPr>
      </w:pPr>
    </w:p>
    <w:p w:rsidR="00184FB5" w:rsidRPr="00184FB5" w:rsidRDefault="00184FB5">
      <w:pPr>
        <w:rPr>
          <w:color w:val="FFFFFF"/>
          <w:sz w:val="2"/>
          <w:szCs w:val="2"/>
          <w:rtl/>
        </w:rPr>
      </w:pPr>
      <w:r w:rsidRPr="00184FB5">
        <w:rPr>
          <w:color w:val="FFFFFF"/>
          <w:sz w:val="2"/>
          <w:szCs w:val="2"/>
          <w:rtl/>
        </w:rPr>
        <w:t>5129371</w:t>
      </w:r>
    </w:p>
    <w:p w:rsidR="00BF54A0" w:rsidRDefault="00184FB5">
      <w:pPr>
        <w:rPr>
          <w:rtl/>
        </w:rPr>
      </w:pPr>
      <w:r w:rsidRPr="00184FB5">
        <w:rPr>
          <w:color w:val="FFFFFF"/>
          <w:sz w:val="2"/>
          <w:szCs w:val="2"/>
          <w:rtl/>
        </w:rPr>
        <w:t>54678313</w:t>
      </w:r>
    </w:p>
    <w:p w:rsidR="00184FB5" w:rsidRDefault="00184FB5" w:rsidP="00184FB5">
      <w:r w:rsidRPr="00184FB5">
        <w:rPr>
          <w:color w:val="000000"/>
          <w:rtl/>
        </w:rPr>
        <w:t>נוסח מסמך זה כפוף לשינויי ניסוח ועריכה</w:t>
      </w:r>
    </w:p>
    <w:p w:rsidR="00184FB5" w:rsidRDefault="00184FB5" w:rsidP="00184FB5">
      <w:pPr>
        <w:rPr>
          <w:rtl/>
        </w:rPr>
      </w:pPr>
    </w:p>
    <w:p w:rsidR="00184FB5" w:rsidRDefault="00184FB5" w:rsidP="00184FB5">
      <w:pPr>
        <w:jc w:val="center"/>
        <w:rPr>
          <w:color w:val="0000FF"/>
          <w:u w:val="single"/>
        </w:rPr>
      </w:pPr>
      <w:hyperlink r:id="rId8" w:history="1">
        <w:r>
          <w:rPr>
            <w:color w:val="0000FF"/>
            <w:u w:val="single"/>
            <w:rtl/>
          </w:rPr>
          <w:t>בעניין עריכה ושינויים במסמכי פסיקה, חקיקה ועוד באתר נבו – הקש כאן</w:t>
        </w:r>
      </w:hyperlink>
    </w:p>
    <w:p w:rsidR="00BF54A0" w:rsidRPr="00184FB5" w:rsidRDefault="00BF54A0" w:rsidP="00184FB5">
      <w:pPr>
        <w:jc w:val="center"/>
        <w:rPr>
          <w:color w:val="0000FF"/>
          <w:u w:val="single"/>
        </w:rPr>
      </w:pPr>
    </w:p>
    <w:sectPr w:rsidR="00BF54A0" w:rsidRPr="00184FB5" w:rsidSect="00184FB5">
      <w:headerReference w:type="even" r:id="rId9"/>
      <w:headerReference w:type="default" r:id="rId10"/>
      <w:footerReference w:type="even" r:id="rId11"/>
      <w:footerReference w:type="default" r:id="rId12"/>
      <w:pgSz w:w="11907" w:h="16840" w:code="9"/>
      <w:pgMar w:top="1701" w:right="1701" w:bottom="1134" w:left="1701" w:header="720" w:footer="73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F0E" w:rsidRPr="00B4225A" w:rsidRDefault="00605F0E">
      <w:pPr>
        <w:rPr>
          <w:rFonts w:cs="Arial"/>
          <w:szCs w:val="20"/>
        </w:rPr>
      </w:pPr>
      <w:r>
        <w:separator/>
      </w:r>
    </w:p>
  </w:endnote>
  <w:endnote w:type="continuationSeparator" w:id="1">
    <w:p w:rsidR="00605F0E" w:rsidRPr="00B4225A" w:rsidRDefault="00605F0E">
      <w:pPr>
        <w:rPr>
          <w:rFonts w:cs="Arial"/>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B5" w:rsidRDefault="00184FB5" w:rsidP="00184FB5">
    <w:pPr>
      <w:pStyle w:val="a4"/>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1</w:t>
    </w:r>
    <w:r>
      <w:rPr>
        <w:rFonts w:ascii="FrankRuehl" w:hAnsi="FrankRuehl" w:cs="FrankRuehl"/>
        <w:rtl/>
      </w:rPr>
      <w:fldChar w:fldCharType="end"/>
    </w:r>
  </w:p>
  <w:p w:rsidR="00184FB5" w:rsidRPr="00184FB5" w:rsidRDefault="00CB799A" w:rsidP="00184FB5">
    <w:pPr>
      <w:pStyle w:val="a4"/>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color w:val="000000"/>
      </w:rPr>
      <w:drawing>
        <wp:inline distT="0" distB="0" distL="0" distR="0">
          <wp:extent cx="552450" cy="228600"/>
          <wp:effectExtent l="19050" t="0" r="0" b="0"/>
          <wp:docPr id="1" name="תמונה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B5" w:rsidRDefault="00184FB5" w:rsidP="00184FB5">
    <w:pPr>
      <w:pStyle w:val="a4"/>
      <w:jc w:val="center"/>
      <w:rPr>
        <w:rStyle w:val="a6"/>
        <w:rFonts w:ascii="FrankRuehl" w:hAnsi="FrankRuehl" w:cs="FrankRuehl"/>
      </w:rPr>
    </w:pPr>
    <w:r>
      <w:rPr>
        <w:rStyle w:val="a6"/>
        <w:rFonts w:ascii="FrankRuehl" w:hAnsi="FrankRuehl" w:cs="FrankRuehl"/>
        <w:rtl/>
      </w:rPr>
      <w:fldChar w:fldCharType="begin"/>
    </w:r>
    <w:r>
      <w:rPr>
        <w:rStyle w:val="a6"/>
        <w:rFonts w:ascii="FrankRuehl" w:hAnsi="FrankRuehl" w:cs="FrankRuehl"/>
        <w:rtl/>
      </w:rPr>
      <w:instrText xml:space="preserve"> </w:instrText>
    </w:r>
    <w:r>
      <w:rPr>
        <w:rStyle w:val="a6"/>
        <w:rFonts w:ascii="FrankRuehl" w:hAnsi="FrankRuehl" w:cs="FrankRuehl"/>
      </w:rPr>
      <w:instrText>PAGE</w:instrText>
    </w:r>
    <w:r>
      <w:rPr>
        <w:rStyle w:val="a6"/>
        <w:rFonts w:ascii="FrankRuehl" w:hAnsi="FrankRuehl" w:cs="FrankRuehl"/>
        <w:rtl/>
      </w:rPr>
      <w:instrText xml:space="preserve">  \* </w:instrText>
    </w:r>
    <w:r>
      <w:rPr>
        <w:rStyle w:val="a6"/>
        <w:rFonts w:ascii="FrankRuehl" w:hAnsi="FrankRuehl" w:cs="FrankRuehl"/>
      </w:rPr>
      <w:instrText>MERGEFORMAT</w:instrText>
    </w:r>
    <w:r>
      <w:rPr>
        <w:rStyle w:val="a6"/>
        <w:rFonts w:ascii="FrankRuehl" w:hAnsi="FrankRuehl" w:cs="FrankRuehl"/>
        <w:rtl/>
      </w:rPr>
      <w:instrText xml:space="preserve"> </w:instrText>
    </w:r>
    <w:r>
      <w:rPr>
        <w:rStyle w:val="a6"/>
        <w:rFonts w:ascii="FrankRuehl" w:hAnsi="FrankRuehl" w:cs="FrankRuehl"/>
        <w:rtl/>
      </w:rPr>
      <w:fldChar w:fldCharType="separate"/>
    </w:r>
    <w:r w:rsidR="00CB799A">
      <w:rPr>
        <w:rStyle w:val="a6"/>
        <w:rFonts w:ascii="FrankRuehl" w:hAnsi="FrankRuehl" w:cs="FrankRuehl"/>
        <w:rtl/>
      </w:rPr>
      <w:t>1</w:t>
    </w:r>
    <w:r>
      <w:rPr>
        <w:rStyle w:val="a6"/>
        <w:rFonts w:ascii="FrankRuehl" w:hAnsi="FrankRuehl" w:cs="FrankRuehl"/>
        <w:rtl/>
      </w:rPr>
      <w:fldChar w:fldCharType="end"/>
    </w:r>
  </w:p>
  <w:p w:rsidR="00BF54A0" w:rsidRPr="00184FB5" w:rsidRDefault="00CB799A" w:rsidP="00184FB5">
    <w:pPr>
      <w:pStyle w:val="a4"/>
      <w:pBdr>
        <w:top w:val="single" w:sz="4" w:space="1" w:color="auto"/>
        <w:between w:val="single" w:sz="4" w:space="0" w:color="auto"/>
      </w:pBdr>
      <w:spacing w:after="60"/>
      <w:jc w:val="center"/>
      <w:rPr>
        <w:rStyle w:val="a6"/>
        <w:rFonts w:ascii="FrankRuehl" w:hAnsi="FrankRuehl" w:cs="FrankRuehl"/>
        <w:color w:val="000000"/>
      </w:rPr>
    </w:pPr>
    <w:r>
      <w:rPr>
        <w:rFonts w:ascii="FrankRuehl" w:hAnsi="FrankRuehl" w:cs="FrankRuehl"/>
        <w:color w:val="000000"/>
      </w:rPr>
      <w:drawing>
        <wp:inline distT="0" distB="0" distL="0" distR="0">
          <wp:extent cx="552450" cy="228600"/>
          <wp:effectExtent l="19050" t="0" r="0" b="0"/>
          <wp:docPr id="2" name="תמונה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F0E" w:rsidRPr="00B4225A" w:rsidRDefault="00605F0E">
      <w:pPr>
        <w:rPr>
          <w:rFonts w:cs="Arial"/>
          <w:szCs w:val="20"/>
        </w:rPr>
      </w:pPr>
      <w:r>
        <w:separator/>
      </w:r>
    </w:p>
  </w:footnote>
  <w:footnote w:type="continuationSeparator" w:id="1">
    <w:p w:rsidR="00605F0E" w:rsidRPr="00B4225A" w:rsidRDefault="00605F0E">
      <w:pPr>
        <w:rPr>
          <w:rFonts w:cs="Arial"/>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B5" w:rsidRPr="00184FB5" w:rsidRDefault="00184FB5" w:rsidP="00184FB5">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עא (מרכז) 8492-02-11</w:t>
    </w:r>
    <w:r>
      <w:rPr>
        <w:rFonts w:ascii="David" w:hAnsi="David"/>
        <w:color w:val="000000"/>
        <w:sz w:val="22"/>
        <w:szCs w:val="22"/>
        <w:rtl/>
      </w:rPr>
      <w:tab/>
      <w:t xml:space="preserve"> עורקים נדל"ן והשקעות בע"מ נ' שחם הנדסה בע"מ</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B5" w:rsidRPr="00184FB5" w:rsidRDefault="00184FB5" w:rsidP="00184FB5">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עא (מרכז) 8492-02-11</w:t>
    </w:r>
    <w:r>
      <w:rPr>
        <w:rFonts w:ascii="David" w:hAnsi="David"/>
        <w:color w:val="000000"/>
        <w:sz w:val="22"/>
        <w:szCs w:val="22"/>
        <w:rtl/>
      </w:rPr>
      <w:tab/>
      <w:t xml:space="preserve"> עורקים נדל"ן והשקעות בע"מ נ' שחם הנדסה בע"מ</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MyInfo" w:val="This document was extracted from Nevo's site"/>
  </w:docVars>
  <w:rsids>
    <w:rsidRoot w:val="00BF54A0"/>
    <w:rsid w:val="0004479E"/>
    <w:rsid w:val="00184FB5"/>
    <w:rsid w:val="00605F0E"/>
    <w:rsid w:val="00A61561"/>
    <w:rsid w:val="00BF54A0"/>
    <w:rsid w:val="00CB799A"/>
    <w:rsid w:val="00DA66B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4A0"/>
    <w:pPr>
      <w:bidi/>
    </w:pPr>
    <w:rPr>
      <w:rFonts w:cs="David"/>
      <w:noProo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F54A0"/>
    <w:pPr>
      <w:tabs>
        <w:tab w:val="center" w:pos="4153"/>
        <w:tab w:val="right" w:pos="8306"/>
      </w:tabs>
    </w:pPr>
  </w:style>
  <w:style w:type="paragraph" w:styleId="a4">
    <w:name w:val="footer"/>
    <w:basedOn w:val="a"/>
    <w:rsid w:val="00BF54A0"/>
    <w:pPr>
      <w:tabs>
        <w:tab w:val="center" w:pos="4153"/>
        <w:tab w:val="right" w:pos="8306"/>
      </w:tabs>
    </w:pPr>
  </w:style>
  <w:style w:type="table" w:styleId="a5">
    <w:name w:val="Table Grid"/>
    <w:basedOn w:val="a1"/>
    <w:rsid w:val="00BF54A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BF54A0"/>
  </w:style>
  <w:style w:type="character" w:styleId="a7">
    <w:name w:val="line number"/>
    <w:basedOn w:val="a0"/>
    <w:rsid w:val="00BF54A0"/>
  </w:style>
  <w:style w:type="character" w:styleId="Hyperlink">
    <w:name w:val="Hyperlink"/>
    <w:basedOn w:val="a0"/>
    <w:rsid w:val="00184F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advertisements/nevo-100.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vo.co.il/links/psika/?link=&#1514;&#1488;%204214/06"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vo.co.il/links/psika/?link=&#1514;&#1488;%204930/0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nevo.co.il</vt:lpstr>
    </vt:vector>
  </TitlesOfParts>
  <Company> </Company>
  <LinksUpToDate>false</LinksUpToDate>
  <CharactersWithSpaces>2630</CharactersWithSpaces>
  <SharedDoc>false</SharedDoc>
  <HLinks>
    <vt:vector size="18" baseType="variant">
      <vt:variant>
        <vt:i4>393283</vt:i4>
      </vt:variant>
      <vt:variant>
        <vt:i4>6</vt:i4>
      </vt:variant>
      <vt:variant>
        <vt:i4>0</vt:i4>
      </vt:variant>
      <vt:variant>
        <vt:i4>5</vt:i4>
      </vt:variant>
      <vt:variant>
        <vt:lpwstr>http://www.nevo.co.il/advertisements/nevo-100.doc</vt:lpwstr>
      </vt:variant>
      <vt:variant>
        <vt:lpwstr/>
      </vt:variant>
      <vt:variant>
        <vt:i4>98370995</vt:i4>
      </vt:variant>
      <vt:variant>
        <vt:i4>3</vt:i4>
      </vt:variant>
      <vt:variant>
        <vt:i4>0</vt:i4>
      </vt:variant>
      <vt:variant>
        <vt:i4>5</vt:i4>
      </vt:variant>
      <vt:variant>
        <vt:lpwstr>http://www.nevo.co.il/links/psika/?link=תא 4214/06</vt:lpwstr>
      </vt:variant>
      <vt:variant>
        <vt:lpwstr/>
      </vt:variant>
      <vt:variant>
        <vt:i4>98305468</vt:i4>
      </vt:variant>
      <vt:variant>
        <vt:i4>0</vt:i4>
      </vt:variant>
      <vt:variant>
        <vt:i4>0</vt:i4>
      </vt:variant>
      <vt:variant>
        <vt:i4>5</vt:i4>
      </vt:variant>
      <vt:variant>
        <vt:lpwstr>http://www.nevo.co.il/links/psika/?link=תא 4930/05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cp:lastModifiedBy>
  <cp:revision>2</cp:revision>
  <dcterms:created xsi:type="dcterms:W3CDTF">2014-08-21T09:48:00Z</dcterms:created>
  <dcterms:modified xsi:type="dcterms:W3CDTF">2014-08-21T09:48:00Z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2</vt:lpwstr>
  </property>
  <property fmtid="{D5CDD505-2E9C-101B-9397-08002B2CF9AE}" pid="3" name="PSAKDIN">
    <vt:lpwstr>פסק-דין</vt:lpwstr>
  </property>
  <property fmtid="{D5CDD505-2E9C-101B-9397-08002B2CF9AE}" pid="4" name="NEWPROC">
    <vt:lpwstr>עא</vt:lpwstr>
  </property>
  <property fmtid="{D5CDD505-2E9C-101B-9397-08002B2CF9AE}" pid="5" name="NEWPARTA">
    <vt:lpwstr>8492</vt:lpwstr>
  </property>
  <property fmtid="{D5CDD505-2E9C-101B-9397-08002B2CF9AE}" pid="6" name="NEWPARTB">
    <vt:lpwstr>02</vt:lpwstr>
  </property>
  <property fmtid="{D5CDD505-2E9C-101B-9397-08002B2CF9AE}" pid="7" name="NEWPARTC">
    <vt:lpwstr>11</vt:lpwstr>
  </property>
  <property fmtid="{D5CDD505-2E9C-101B-9397-08002B2CF9AE}" pid="8" name="APPELLANT">
    <vt:lpwstr>עורקים נדל"ן והשקעות בע"מ</vt:lpwstr>
  </property>
  <property fmtid="{D5CDD505-2E9C-101B-9397-08002B2CF9AE}" pid="9" name="APPELLEE">
    <vt:lpwstr>שחם הנדסה בע"מ;יצחק מאירזדה</vt:lpwstr>
  </property>
  <property fmtid="{D5CDD505-2E9C-101B-9397-08002B2CF9AE}" pid="10" name="LAWYER">
    <vt:lpwstr>שי גבסי הראל דהן;אסף מרקס וחיים כהן</vt:lpwstr>
  </property>
  <property fmtid="{D5CDD505-2E9C-101B-9397-08002B2CF9AE}" pid="11" name="JUDGE">
    <vt:lpwstr>אילן ש' שילה;מיכל נד"ב;צבי דותן</vt:lpwstr>
  </property>
  <property fmtid="{D5CDD505-2E9C-101B-9397-08002B2CF9AE}" pid="12" name="CITY">
    <vt:lpwstr>מרכז</vt:lpwstr>
  </property>
  <property fmtid="{D5CDD505-2E9C-101B-9397-08002B2CF9AE}" pid="13" name="DATE">
    <vt:lpwstr>20111124</vt:lpwstr>
  </property>
  <property fmtid="{D5CDD505-2E9C-101B-9397-08002B2CF9AE}" pid="14" name="TYPE_N_DATE">
    <vt:lpwstr>39020111124</vt:lpwstr>
  </property>
  <property fmtid="{D5CDD505-2E9C-101B-9397-08002B2CF9AE}" pid="15" name="WORDNUMPAGES">
    <vt:lpwstr>2</vt:lpwstr>
  </property>
  <property fmtid="{D5CDD505-2E9C-101B-9397-08002B2CF9AE}" pid="16" name="TYPE_ABS_DATE">
    <vt:lpwstr>390020111124</vt:lpwstr>
  </property>
  <property fmtid="{D5CDD505-2E9C-101B-9397-08002B2CF9AE}" pid="17" name="ISABSTRACT">
    <vt:lpwstr>Y</vt:lpwstr>
  </property>
</Properties>
</file>